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4AA" w:rsidRPr="002D5294" w:rsidRDefault="00F56984" w:rsidP="00F56984">
      <w:pPr>
        <w:spacing w:line="360" w:lineRule="auto"/>
        <w:jc w:val="center"/>
        <w:rPr>
          <w:rFonts w:ascii="Verdana" w:hAnsi="Verdana"/>
          <w:b/>
          <w:lang w:val="ro-RO"/>
        </w:rPr>
      </w:pPr>
      <w:r w:rsidRPr="002D5294">
        <w:rPr>
          <w:rFonts w:ascii="Verdana" w:hAnsi="Verdana"/>
          <w:b/>
          <w:lang w:val="ro-RO"/>
        </w:rPr>
        <w:t>ANALIZA DE SITUAŢIE</w:t>
      </w:r>
    </w:p>
    <w:p w:rsidR="00F56984" w:rsidRPr="002D5294" w:rsidRDefault="00F56984" w:rsidP="00F56984">
      <w:pPr>
        <w:spacing w:line="360" w:lineRule="auto"/>
        <w:jc w:val="center"/>
        <w:rPr>
          <w:rFonts w:ascii="Verdana" w:hAnsi="Verdana"/>
          <w:lang w:val="ro-RO"/>
        </w:rPr>
      </w:pPr>
    </w:p>
    <w:p w:rsidR="00F56984" w:rsidRPr="005B004B" w:rsidRDefault="00F56984" w:rsidP="000920C8">
      <w:pPr>
        <w:numPr>
          <w:ilvl w:val="0"/>
          <w:numId w:val="31"/>
        </w:numPr>
        <w:spacing w:line="360" w:lineRule="auto"/>
        <w:jc w:val="both"/>
        <w:rPr>
          <w:rFonts w:ascii="Verdana" w:hAnsi="Verdana"/>
          <w:b/>
        </w:rPr>
      </w:pPr>
      <w:r w:rsidRPr="005B004B">
        <w:rPr>
          <w:rFonts w:ascii="Verdana" w:hAnsi="Verdana"/>
          <w:b/>
        </w:rPr>
        <w:t xml:space="preserve">Date </w:t>
      </w:r>
      <w:proofErr w:type="spellStart"/>
      <w:r w:rsidRPr="005B004B">
        <w:rPr>
          <w:rFonts w:ascii="Verdana" w:hAnsi="Verdana"/>
          <w:b/>
        </w:rPr>
        <w:t>statistice</w:t>
      </w:r>
      <w:proofErr w:type="spellEnd"/>
    </w:p>
    <w:p w:rsidR="004344AA" w:rsidRPr="005B004B" w:rsidRDefault="004344AA" w:rsidP="00EC0F52">
      <w:pPr>
        <w:numPr>
          <w:ilvl w:val="0"/>
          <w:numId w:val="28"/>
        </w:numPr>
        <w:spacing w:line="360" w:lineRule="auto"/>
        <w:jc w:val="both"/>
        <w:rPr>
          <w:rFonts w:ascii="Verdana" w:hAnsi="Verdana"/>
          <w:b/>
        </w:rPr>
      </w:pPr>
      <w:proofErr w:type="spellStart"/>
      <w:r w:rsidRPr="005B004B">
        <w:rPr>
          <w:rFonts w:ascii="Verdana" w:hAnsi="Verdana"/>
          <w:b/>
        </w:rPr>
        <w:t>Internaţionale</w:t>
      </w:r>
      <w:proofErr w:type="spellEnd"/>
    </w:p>
    <w:p w:rsidR="00A143C6" w:rsidRDefault="00EA39FF" w:rsidP="00EA39FF">
      <w:pPr>
        <w:spacing w:line="360" w:lineRule="auto"/>
        <w:jc w:val="both"/>
        <w:rPr>
          <w:rFonts w:ascii="Verdana" w:hAnsi="Verdana"/>
          <w:lang w:val="ro-RO"/>
        </w:rPr>
      </w:pPr>
      <w:r w:rsidRPr="005B004B">
        <w:rPr>
          <w:rFonts w:ascii="Verdana" w:hAnsi="Verdana"/>
          <w:lang w:val="ro-RO"/>
        </w:rPr>
        <w:tab/>
      </w:r>
      <w:r w:rsidR="00A143C6">
        <w:rPr>
          <w:rFonts w:ascii="Verdana" w:hAnsi="Verdana"/>
          <w:lang w:val="ro-RO"/>
        </w:rPr>
        <w:t xml:space="preserve">Presiunea arterială crescută este </w:t>
      </w:r>
      <w:r w:rsidR="00B555EA">
        <w:rPr>
          <w:rFonts w:ascii="Verdana" w:hAnsi="Verdana"/>
          <w:lang w:val="ro-RO"/>
        </w:rPr>
        <w:t>principalul</w:t>
      </w:r>
      <w:r w:rsidR="00A143C6">
        <w:rPr>
          <w:rFonts w:ascii="Verdana" w:hAnsi="Verdana"/>
          <w:lang w:val="ro-RO"/>
        </w:rPr>
        <w:t xml:space="preserve"> factor de risc pentru deces şi disabilitate </w:t>
      </w:r>
      <w:r w:rsidR="00FA0989">
        <w:rPr>
          <w:rFonts w:ascii="Verdana" w:hAnsi="Verdana"/>
          <w:lang w:val="ro-RO"/>
        </w:rPr>
        <w:t xml:space="preserve">la scară </w:t>
      </w:r>
      <w:r w:rsidR="00A143C6">
        <w:rPr>
          <w:rFonts w:ascii="Verdana" w:hAnsi="Verdana"/>
          <w:lang w:val="ro-RO"/>
        </w:rPr>
        <w:t>globală, conform Organizaţiei Mondiale a Sănătăţii şi Societăţii Internaţionale de Hipertensiune (</w:t>
      </w:r>
      <w:r w:rsidR="00A143C6" w:rsidRPr="004050AE">
        <w:rPr>
          <w:rStyle w:val="FootnoteReference"/>
          <w:rFonts w:ascii="Verdana" w:hAnsi="Verdana"/>
          <w:vertAlign w:val="baseline"/>
          <w:lang w:val="ro-RO"/>
        </w:rPr>
        <w:footnoteReference w:id="2"/>
      </w:r>
      <w:r w:rsidR="00A143C6">
        <w:rPr>
          <w:rFonts w:ascii="Verdana" w:hAnsi="Verdana"/>
          <w:lang w:val="ro-RO"/>
        </w:rPr>
        <w:t>).</w:t>
      </w:r>
    </w:p>
    <w:p w:rsidR="00375799" w:rsidRDefault="00375799" w:rsidP="00A143C6">
      <w:pPr>
        <w:spacing w:line="360" w:lineRule="auto"/>
        <w:ind w:firstLine="720"/>
        <w:jc w:val="both"/>
        <w:rPr>
          <w:rFonts w:ascii="Verdana" w:hAnsi="Verdana"/>
          <w:lang w:val="ro-RO"/>
        </w:rPr>
      </w:pPr>
      <w:r>
        <w:rPr>
          <w:rFonts w:ascii="Verdana" w:hAnsi="Verdana"/>
          <w:lang w:val="ro-RO"/>
        </w:rPr>
        <w:t xml:space="preserve">Se estimează că presiunea arterială crescută a fost responsabilă pentru 9.4 </w:t>
      </w:r>
      <w:r w:rsidR="00A143C6">
        <w:rPr>
          <w:rFonts w:ascii="Verdana" w:hAnsi="Verdana"/>
          <w:lang w:val="ro-RO"/>
        </w:rPr>
        <w:t>milioane</w:t>
      </w:r>
      <w:r>
        <w:rPr>
          <w:rFonts w:ascii="Verdana" w:hAnsi="Verdana"/>
          <w:lang w:val="ro-RO"/>
        </w:rPr>
        <w:t xml:space="preserve"> decese şi 162 milioane ani de viaţă pierduţi în 2010</w:t>
      </w:r>
      <w:r w:rsidR="00B555EA">
        <w:rPr>
          <w:rFonts w:ascii="Verdana" w:hAnsi="Verdana"/>
          <w:lang w:val="ro-RO"/>
        </w:rPr>
        <w:t>,</w:t>
      </w:r>
      <w:r w:rsidR="00A143C6">
        <w:rPr>
          <w:rFonts w:ascii="Verdana" w:hAnsi="Verdana"/>
          <w:lang w:val="ro-RO"/>
        </w:rPr>
        <w:t xml:space="preserve"> 50% dintre bolile cardiace, accidente</w:t>
      </w:r>
      <w:r w:rsidR="00B555EA">
        <w:rPr>
          <w:rFonts w:ascii="Verdana" w:hAnsi="Verdana"/>
          <w:lang w:val="ro-RO"/>
        </w:rPr>
        <w:t>le</w:t>
      </w:r>
      <w:r w:rsidR="00A143C6">
        <w:rPr>
          <w:rFonts w:ascii="Verdana" w:hAnsi="Verdana"/>
          <w:lang w:val="ro-RO"/>
        </w:rPr>
        <w:t xml:space="preserve"> vas</w:t>
      </w:r>
      <w:r w:rsidR="00B555EA">
        <w:rPr>
          <w:rFonts w:ascii="Verdana" w:hAnsi="Verdana"/>
          <w:lang w:val="ro-RO"/>
        </w:rPr>
        <w:t>culare cerebrale şi insuficienţa</w:t>
      </w:r>
      <w:r w:rsidR="00A143C6">
        <w:rPr>
          <w:rFonts w:ascii="Verdana" w:hAnsi="Verdana"/>
          <w:lang w:val="ro-RO"/>
        </w:rPr>
        <w:t xml:space="preserve"> cardiacă</w:t>
      </w:r>
      <w:r w:rsidR="00672EE2">
        <w:rPr>
          <w:rFonts w:ascii="Verdana" w:hAnsi="Verdana"/>
          <w:lang w:val="ro-RO"/>
        </w:rPr>
        <w:t xml:space="preserve"> </w:t>
      </w:r>
      <w:r w:rsidR="00A143C6">
        <w:rPr>
          <w:rFonts w:ascii="Verdana" w:hAnsi="Verdana"/>
          <w:lang w:val="ro-RO"/>
        </w:rPr>
        <w:t>(</w:t>
      </w:r>
      <w:r w:rsidR="00A143C6" w:rsidRPr="004050AE">
        <w:rPr>
          <w:rStyle w:val="FootnoteReference"/>
          <w:rFonts w:ascii="Verdana" w:hAnsi="Verdana"/>
          <w:vertAlign w:val="baseline"/>
          <w:lang w:val="ro-RO"/>
        </w:rPr>
        <w:footnoteReference w:id="3"/>
      </w:r>
      <w:r w:rsidR="00A143C6" w:rsidRPr="004050AE">
        <w:rPr>
          <w:rFonts w:ascii="Verdana" w:hAnsi="Verdana"/>
          <w:lang w:val="ro-RO"/>
        </w:rPr>
        <w:t>,</w:t>
      </w:r>
      <w:r w:rsidR="00A143C6" w:rsidRPr="004050AE">
        <w:rPr>
          <w:rStyle w:val="FootnoteReference"/>
          <w:rFonts w:ascii="Verdana" w:hAnsi="Verdana"/>
          <w:vertAlign w:val="baseline"/>
          <w:lang w:val="ro-RO"/>
        </w:rPr>
        <w:footnoteReference w:id="4"/>
      </w:r>
      <w:r w:rsidR="00A143C6">
        <w:rPr>
          <w:rFonts w:ascii="Verdana" w:hAnsi="Verdana"/>
          <w:lang w:val="ro-RO"/>
        </w:rPr>
        <w:t>)</w:t>
      </w:r>
      <w:r w:rsidR="00B555EA">
        <w:rPr>
          <w:rFonts w:ascii="Verdana" w:hAnsi="Verdana"/>
          <w:lang w:val="ro-RO"/>
        </w:rPr>
        <w:t>,</w:t>
      </w:r>
      <w:r w:rsidR="00A143C6">
        <w:rPr>
          <w:rFonts w:ascii="Verdana" w:hAnsi="Verdana"/>
          <w:lang w:val="ro-RO"/>
        </w:rPr>
        <w:t xml:space="preserve"> 13% dintre decese la scară globală şi peste 40% dintre decesele la persoanele cu diabet</w:t>
      </w:r>
      <w:r w:rsidR="00672EE2">
        <w:rPr>
          <w:rFonts w:ascii="Verdana" w:hAnsi="Verdana"/>
          <w:lang w:val="ro-RO"/>
        </w:rPr>
        <w:t xml:space="preserve"> (</w:t>
      </w:r>
      <w:r w:rsidR="00672EE2" w:rsidRPr="004050AE">
        <w:rPr>
          <w:rStyle w:val="FootnoteReference"/>
          <w:rFonts w:ascii="Verdana" w:hAnsi="Verdana"/>
          <w:vertAlign w:val="baseline"/>
          <w:lang w:val="ro-RO"/>
        </w:rPr>
        <w:footnoteReference w:id="5"/>
      </w:r>
      <w:r w:rsidR="00672EE2">
        <w:rPr>
          <w:rFonts w:ascii="Verdana" w:hAnsi="Verdana"/>
          <w:lang w:val="ro-RO"/>
        </w:rPr>
        <w:t>). Hipertensiunea este</w:t>
      </w:r>
      <w:r w:rsidR="00B555EA">
        <w:rPr>
          <w:rFonts w:ascii="Verdana" w:hAnsi="Verdana"/>
          <w:lang w:val="ro-RO"/>
        </w:rPr>
        <w:t>,</w:t>
      </w:r>
      <w:r w:rsidR="00672EE2">
        <w:rPr>
          <w:rFonts w:ascii="Verdana" w:hAnsi="Verdana"/>
          <w:lang w:val="ro-RO"/>
        </w:rPr>
        <w:t xml:space="preserve"> de asemenea, un factor de risc important fetal şi maternal </w:t>
      </w:r>
      <w:r w:rsidR="00B555EA">
        <w:rPr>
          <w:rFonts w:ascii="Verdana" w:hAnsi="Verdana"/>
          <w:lang w:val="ro-RO"/>
        </w:rPr>
        <w:t>(</w:t>
      </w:r>
      <w:r w:rsidR="00672EE2" w:rsidRPr="004050AE">
        <w:rPr>
          <w:rStyle w:val="FootnoteReference"/>
          <w:rFonts w:ascii="Verdana" w:hAnsi="Verdana"/>
          <w:vertAlign w:val="baseline"/>
          <w:lang w:val="ro-RO"/>
        </w:rPr>
        <w:footnoteReference w:id="6"/>
      </w:r>
      <w:r w:rsidR="00672EE2" w:rsidRPr="004050AE">
        <w:rPr>
          <w:rFonts w:ascii="Verdana" w:hAnsi="Verdana"/>
          <w:lang w:val="ro-RO"/>
        </w:rPr>
        <w:t xml:space="preserve">, </w:t>
      </w:r>
      <w:r w:rsidR="00672EE2" w:rsidRPr="004050AE">
        <w:rPr>
          <w:rStyle w:val="FootnoteReference"/>
          <w:rFonts w:ascii="Verdana" w:hAnsi="Verdana"/>
          <w:vertAlign w:val="baseline"/>
          <w:lang w:val="ro-RO"/>
        </w:rPr>
        <w:footnoteReference w:id="7"/>
      </w:r>
      <w:r w:rsidR="00B555EA">
        <w:rPr>
          <w:rFonts w:ascii="Verdana" w:hAnsi="Verdana"/>
          <w:lang w:val="ro-RO"/>
        </w:rPr>
        <w:t>).</w:t>
      </w:r>
    </w:p>
    <w:p w:rsidR="00EA39FF" w:rsidRPr="005B004B" w:rsidRDefault="00EA39FF" w:rsidP="00EA39FF">
      <w:pPr>
        <w:spacing w:line="360" w:lineRule="auto"/>
        <w:jc w:val="both"/>
        <w:rPr>
          <w:rFonts w:ascii="Verdana" w:hAnsi="Verdana"/>
          <w:lang w:val="ro-RO"/>
        </w:rPr>
      </w:pPr>
      <w:r w:rsidRPr="005B004B">
        <w:rPr>
          <w:rFonts w:ascii="Verdana" w:hAnsi="Verdana"/>
          <w:lang w:val="ro-RO"/>
        </w:rPr>
        <w:tab/>
      </w:r>
      <w:r w:rsidR="00FA0989">
        <w:rPr>
          <w:rFonts w:ascii="Verdana" w:hAnsi="Verdana"/>
          <w:lang w:val="ro-RO"/>
        </w:rPr>
        <w:t xml:space="preserve">În prezent </w:t>
      </w:r>
      <w:r w:rsidR="00B555EA">
        <w:rPr>
          <w:rFonts w:ascii="Verdana" w:hAnsi="Verdana"/>
          <w:lang w:val="ro-RO"/>
        </w:rPr>
        <w:t xml:space="preserve">HTA a atins dimensiuni epidemice. </w:t>
      </w:r>
      <w:r w:rsidR="009F7AEC">
        <w:rPr>
          <w:rFonts w:ascii="Verdana" w:hAnsi="Verdana"/>
          <w:lang w:val="ro-RO"/>
        </w:rPr>
        <w:t>Î</w:t>
      </w:r>
      <w:r w:rsidR="009F7AEC" w:rsidRPr="005B004B">
        <w:rPr>
          <w:rFonts w:ascii="Verdana" w:hAnsi="Verdana"/>
          <w:lang w:val="ro-RO"/>
        </w:rPr>
        <w:t>n 2008</w:t>
      </w:r>
      <w:r w:rsidR="009206EA">
        <w:rPr>
          <w:rFonts w:ascii="Verdana" w:hAnsi="Verdana"/>
          <w:lang w:val="ro-RO"/>
        </w:rPr>
        <w:t>,</w:t>
      </w:r>
      <w:r w:rsidR="009F7AEC">
        <w:rPr>
          <w:rFonts w:ascii="Verdana" w:hAnsi="Verdana"/>
          <w:lang w:val="ro-RO"/>
        </w:rPr>
        <w:t xml:space="preserve"> </w:t>
      </w:r>
      <w:r w:rsidRPr="005B004B">
        <w:rPr>
          <w:rFonts w:ascii="Verdana" w:hAnsi="Verdana"/>
          <w:lang w:val="ro-RO"/>
        </w:rPr>
        <w:t xml:space="preserve">prevalenţa HTA </w:t>
      </w:r>
      <w:r w:rsidR="009F7AEC">
        <w:rPr>
          <w:rFonts w:ascii="Verdana" w:hAnsi="Verdana"/>
          <w:lang w:val="ro-RO"/>
        </w:rPr>
        <w:t>l</w:t>
      </w:r>
      <w:r w:rsidR="009F7AEC" w:rsidRPr="005B004B">
        <w:rPr>
          <w:rFonts w:ascii="Verdana" w:hAnsi="Verdana"/>
          <w:lang w:val="ro-RO"/>
        </w:rPr>
        <w:t xml:space="preserve">a scară globală </w:t>
      </w:r>
      <w:r w:rsidRPr="005B004B">
        <w:rPr>
          <w:rFonts w:ascii="Verdana" w:hAnsi="Verdana"/>
          <w:lang w:val="ro-RO"/>
        </w:rPr>
        <w:t xml:space="preserve">în rândul adulţilor de 25 de ani şi mai mult a fost în jur de 40%. Chiar dacă </w:t>
      </w:r>
      <w:r w:rsidR="00A15EB6" w:rsidRPr="005B004B">
        <w:rPr>
          <w:rFonts w:ascii="Verdana" w:hAnsi="Verdana"/>
          <w:lang w:val="ro-RO"/>
        </w:rPr>
        <w:t>în intervalul 1980 şi 2008</w:t>
      </w:r>
      <w:r w:rsidR="00A15EB6">
        <w:rPr>
          <w:rFonts w:ascii="Verdana" w:hAnsi="Verdana"/>
          <w:lang w:val="ro-RO"/>
        </w:rPr>
        <w:t xml:space="preserve">, </w:t>
      </w:r>
      <w:r w:rsidRPr="005B004B">
        <w:rPr>
          <w:rFonts w:ascii="Verdana" w:hAnsi="Verdana"/>
          <w:lang w:val="ro-RO"/>
        </w:rPr>
        <w:t xml:space="preserve">proporţia populaţiei presiune arterială ridicată sau hipertensiune a </w:t>
      </w:r>
      <w:r w:rsidR="00534D26">
        <w:rPr>
          <w:rFonts w:ascii="Verdana" w:hAnsi="Verdana"/>
          <w:lang w:val="ro-RO"/>
        </w:rPr>
        <w:t xml:space="preserve">prezentat o uşoară scădere, </w:t>
      </w:r>
      <w:r w:rsidRPr="005B004B">
        <w:rPr>
          <w:rFonts w:ascii="Verdana" w:hAnsi="Verdana"/>
          <w:lang w:val="ro-RO"/>
        </w:rPr>
        <w:t>numărul celor cu HTA a crescut de la 6</w:t>
      </w:r>
      <w:r w:rsidR="00207561" w:rsidRPr="005B004B">
        <w:rPr>
          <w:rFonts w:ascii="Verdana" w:hAnsi="Verdana"/>
          <w:lang w:val="ro-RO"/>
        </w:rPr>
        <w:t xml:space="preserve">00 milioane în 1980 la aproape 1 </w:t>
      </w:r>
      <w:r w:rsidRPr="005B004B">
        <w:rPr>
          <w:rFonts w:ascii="Verdana" w:hAnsi="Verdana"/>
          <w:lang w:val="ro-RO"/>
        </w:rPr>
        <w:t>miliard în 2008</w:t>
      </w:r>
      <w:r w:rsidR="00207561" w:rsidRPr="005B004B">
        <w:rPr>
          <w:rFonts w:ascii="Verdana" w:hAnsi="Verdana"/>
          <w:lang w:val="ro-RO"/>
        </w:rPr>
        <w:t xml:space="preserve"> </w:t>
      </w:r>
      <w:r w:rsidR="00534D26" w:rsidRPr="005B004B">
        <w:rPr>
          <w:rFonts w:ascii="Verdana" w:hAnsi="Verdana"/>
          <w:lang w:val="ro-RO"/>
        </w:rPr>
        <w:t xml:space="preserve">ca urmare a </w:t>
      </w:r>
      <w:r w:rsidR="00534D26" w:rsidRPr="005B004B">
        <w:rPr>
          <w:rFonts w:ascii="Verdana" w:hAnsi="Verdana"/>
          <w:lang w:val="ro-RO"/>
        </w:rPr>
        <w:lastRenderedPageBreak/>
        <w:t xml:space="preserve">procesului de creştere a populaţiei şi a fenomenului </w:t>
      </w:r>
      <w:r w:rsidR="00534D26">
        <w:rPr>
          <w:rFonts w:ascii="Verdana" w:hAnsi="Verdana"/>
          <w:lang w:val="ro-RO"/>
        </w:rPr>
        <w:t>de îmbătrânire</w:t>
      </w:r>
      <w:r w:rsidR="00534D26" w:rsidRPr="005B004B">
        <w:rPr>
          <w:rFonts w:ascii="Verdana" w:hAnsi="Verdana"/>
          <w:lang w:val="ro-RO"/>
        </w:rPr>
        <w:t xml:space="preserve"> </w:t>
      </w:r>
      <w:r w:rsidR="00207561" w:rsidRPr="005B004B">
        <w:rPr>
          <w:rFonts w:ascii="Verdana" w:hAnsi="Verdana"/>
          <w:lang w:val="ro-RO"/>
        </w:rPr>
        <w:t>(</w:t>
      </w:r>
      <w:r w:rsidR="005F2D06" w:rsidRPr="004050AE">
        <w:rPr>
          <w:rStyle w:val="FootnoteReference"/>
          <w:rFonts w:ascii="Verdana" w:hAnsi="Verdana"/>
          <w:vertAlign w:val="baseline"/>
          <w:lang w:val="ro-RO"/>
        </w:rPr>
        <w:footnoteReference w:id="8"/>
      </w:r>
      <w:r w:rsidR="00207561" w:rsidRPr="004050AE">
        <w:rPr>
          <w:rFonts w:ascii="Verdana" w:hAnsi="Verdana"/>
          <w:lang w:val="ro-RO"/>
        </w:rPr>
        <w:t>)</w:t>
      </w:r>
      <w:r w:rsidR="00CC2927">
        <w:rPr>
          <w:rFonts w:ascii="Verdana" w:hAnsi="Verdana"/>
          <w:lang w:val="ro-RO"/>
        </w:rPr>
        <w:t xml:space="preserve"> şi s</w:t>
      </w:r>
      <w:r w:rsidR="00837A1E" w:rsidRPr="005B004B">
        <w:rPr>
          <w:rFonts w:ascii="Verdana" w:hAnsi="Verdana"/>
          <w:lang w:val="ro-RO"/>
        </w:rPr>
        <w:t>e estimează o creştere de până la 1,56 miliarde în 2025 (</w:t>
      </w:r>
      <w:r w:rsidR="005F2D06" w:rsidRPr="004050AE">
        <w:rPr>
          <w:rStyle w:val="FootnoteReference"/>
          <w:rFonts w:ascii="Verdana" w:hAnsi="Verdana"/>
          <w:vertAlign w:val="baseline"/>
          <w:lang w:val="ro-RO"/>
        </w:rPr>
        <w:footnoteReference w:id="9"/>
      </w:r>
      <w:r w:rsidR="00837A1E" w:rsidRPr="005B004B">
        <w:rPr>
          <w:rFonts w:ascii="Verdana" w:hAnsi="Verdana"/>
          <w:lang w:val="ro-RO"/>
        </w:rPr>
        <w:t>).</w:t>
      </w:r>
    </w:p>
    <w:p w:rsidR="00775D21" w:rsidRPr="006D32E7" w:rsidRDefault="005E4D62" w:rsidP="00775D21">
      <w:pPr>
        <w:spacing w:line="360" w:lineRule="auto"/>
        <w:jc w:val="both"/>
        <w:rPr>
          <w:rFonts w:ascii="Verdana" w:hAnsi="Verdana"/>
          <w:lang w:val="ro-RO"/>
        </w:rPr>
      </w:pPr>
      <w:r w:rsidRPr="005B004B">
        <w:rPr>
          <w:rFonts w:ascii="Verdana" w:hAnsi="Verdana"/>
          <w:lang w:val="ro-RO"/>
        </w:rPr>
        <w:tab/>
        <w:t>Între regiunile OMS, prevalenţa presiunii arteriale ridicate a fost cea mai înaltă în Africa, de 46% combinată pentru ambele sexe.</w:t>
      </w:r>
      <w:r w:rsidR="00D86384" w:rsidRPr="005B004B">
        <w:rPr>
          <w:rFonts w:ascii="Verdana" w:hAnsi="Verdana"/>
          <w:lang w:val="ro-RO"/>
        </w:rPr>
        <w:t xml:space="preserve"> În această regiune</w:t>
      </w:r>
      <w:r w:rsidR="005F2D06">
        <w:rPr>
          <w:rFonts w:ascii="Verdana" w:hAnsi="Verdana"/>
          <w:lang w:val="ro-RO"/>
        </w:rPr>
        <w:t>,</w:t>
      </w:r>
      <w:r w:rsidR="00D86384" w:rsidRPr="005B004B">
        <w:rPr>
          <w:rFonts w:ascii="Verdana" w:hAnsi="Verdana"/>
          <w:lang w:val="ro-RO"/>
        </w:rPr>
        <w:t xml:space="preserve"> ratele de prevalenţă a HTA sunt ridicate la ambele sexe.</w:t>
      </w:r>
      <w:r w:rsidRPr="005B004B">
        <w:rPr>
          <w:rFonts w:ascii="Verdana" w:hAnsi="Verdana"/>
          <w:lang w:val="ro-RO"/>
        </w:rPr>
        <w:t xml:space="preserve"> Cea mai redusă prevalenţă a HTA a fost notată în regiunea OMS a Americilor, de 35% pentru ambele sexe.  Bărbaţii </w:t>
      </w:r>
      <w:r w:rsidR="00D86384" w:rsidRPr="005B004B">
        <w:rPr>
          <w:rFonts w:ascii="Verdana" w:hAnsi="Verdana"/>
          <w:lang w:val="ro-RO"/>
        </w:rPr>
        <w:t>din această regiune au o prevalenţă mai ridicată</w:t>
      </w:r>
      <w:r w:rsidR="00775D21" w:rsidRPr="005B004B">
        <w:rPr>
          <w:rFonts w:ascii="Verdana" w:hAnsi="Verdana"/>
          <w:lang w:val="ro-RO"/>
        </w:rPr>
        <w:t>, 39%</w:t>
      </w:r>
      <w:r w:rsidR="00D86384" w:rsidRPr="005B004B">
        <w:rPr>
          <w:rFonts w:ascii="Verdana" w:hAnsi="Verdana"/>
          <w:lang w:val="ro-RO"/>
        </w:rPr>
        <w:t xml:space="preserve"> comparativ cu femeile</w:t>
      </w:r>
      <w:r w:rsidR="00775D21" w:rsidRPr="005B004B">
        <w:rPr>
          <w:rFonts w:ascii="Verdana" w:hAnsi="Verdana"/>
          <w:lang w:val="ro-RO"/>
        </w:rPr>
        <w:t>, 32%. În toate regiunile OMS bărbaţii au o prevalenţă uşor mai ridicată a presiunii arteriale elevate, dar diferenţa a fost semnificativ statistică doar în Regiunile Americilor şi Europei. (</w:t>
      </w:r>
      <w:r w:rsidR="005F2D06" w:rsidRPr="004050AE">
        <w:rPr>
          <w:rStyle w:val="FootnoteReference"/>
          <w:rFonts w:ascii="Verdana" w:hAnsi="Verdana"/>
          <w:vertAlign w:val="baseline"/>
          <w:lang w:val="ro-RO"/>
        </w:rPr>
        <w:footnoteReference w:id="10"/>
      </w:r>
      <w:r w:rsidR="00775D21" w:rsidRPr="004050AE">
        <w:rPr>
          <w:rFonts w:ascii="Verdana" w:hAnsi="Verdana"/>
          <w:lang w:val="ro-RO"/>
        </w:rPr>
        <w:t>)</w:t>
      </w:r>
      <w:r w:rsidR="00775D21" w:rsidRPr="006D32E7">
        <w:rPr>
          <w:rFonts w:ascii="Verdana" w:hAnsi="Verdana"/>
          <w:lang w:val="ro-RO"/>
        </w:rPr>
        <w:t xml:space="preserve">. </w:t>
      </w:r>
    </w:p>
    <w:p w:rsidR="00EA39FF" w:rsidRDefault="00775D21" w:rsidP="004344AA">
      <w:pPr>
        <w:spacing w:line="360" w:lineRule="auto"/>
        <w:jc w:val="both"/>
        <w:rPr>
          <w:rFonts w:ascii="Verdana" w:hAnsi="Verdana"/>
          <w:lang w:val="ro-RO"/>
        </w:rPr>
      </w:pPr>
      <w:r w:rsidRPr="005B004B">
        <w:rPr>
          <w:rFonts w:ascii="Verdana" w:hAnsi="Verdana"/>
          <w:lang w:val="ro-RO"/>
        </w:rPr>
        <w:tab/>
      </w:r>
      <w:r w:rsidR="00B555EA">
        <w:rPr>
          <w:rFonts w:ascii="Verdana" w:hAnsi="Verdana"/>
          <w:lang w:val="ro-RO"/>
        </w:rPr>
        <w:t>HTA afectează în mod disproporţionat ţările cu venituri mici şi mijlocii (</w:t>
      </w:r>
      <w:r w:rsidR="00B555EA" w:rsidRPr="00C805B4">
        <w:rPr>
          <w:rFonts w:ascii="Verdana" w:hAnsi="Verdana"/>
          <w:vertAlign w:val="superscript"/>
          <w:lang w:val="ro-RO"/>
        </w:rPr>
        <w:t>2</w:t>
      </w:r>
      <w:r w:rsidR="00B555EA">
        <w:rPr>
          <w:rFonts w:ascii="Verdana" w:hAnsi="Verdana"/>
          <w:lang w:val="ro-RO"/>
        </w:rPr>
        <w:t xml:space="preserve">). </w:t>
      </w:r>
      <w:r w:rsidR="00B555EA" w:rsidRPr="005B004B">
        <w:rPr>
          <w:rFonts w:ascii="Verdana" w:hAnsi="Verdana"/>
          <w:lang w:val="ro-RO"/>
        </w:rPr>
        <w:t xml:space="preserve">Analiza prevalenţei HTA pe grupe de ţări în raport cu nivelul economic a relevat că aceasta este în mod constant ridicată în </w:t>
      </w:r>
      <w:r w:rsidR="00B555EA">
        <w:rPr>
          <w:rFonts w:ascii="Verdana" w:hAnsi="Verdana"/>
          <w:lang w:val="ro-RO"/>
        </w:rPr>
        <w:t>rândul</w:t>
      </w:r>
      <w:r w:rsidR="00B555EA" w:rsidRPr="005B004B">
        <w:rPr>
          <w:rFonts w:ascii="Verdana" w:hAnsi="Verdana"/>
          <w:lang w:val="ro-RO"/>
        </w:rPr>
        <w:t xml:space="preserve"> ţărilor cu nivel economic scăzut, şi mediu, fiind în jur de 40% şi mai redus</w:t>
      </w:r>
      <w:r w:rsidR="00B555EA">
        <w:rPr>
          <w:rFonts w:ascii="Verdana" w:hAnsi="Verdana"/>
          <w:lang w:val="ro-RO"/>
        </w:rPr>
        <w:t>ă</w:t>
      </w:r>
      <w:r w:rsidR="00B555EA" w:rsidRPr="005B004B">
        <w:rPr>
          <w:rFonts w:ascii="Verdana" w:hAnsi="Verdana"/>
          <w:lang w:val="ro-RO"/>
        </w:rPr>
        <w:t xml:space="preserve"> în grupul ţărilor cu nivel economic crescut, în jur de 35%.</w:t>
      </w:r>
      <w:r w:rsidR="00B555EA">
        <w:rPr>
          <w:rFonts w:ascii="Verdana" w:hAnsi="Verdana"/>
          <w:lang w:val="ro-RO"/>
        </w:rPr>
        <w:t xml:space="preserve"> Două treimi dintre cei cu HTA se situează în ţările în dezvoltare, iar boala cardiacă şi AVC se întâlnesc la persoane mai tinere în aceste ţări. </w:t>
      </w:r>
    </w:p>
    <w:p w:rsidR="00B555EA" w:rsidRDefault="00B555EA" w:rsidP="004344AA">
      <w:pPr>
        <w:spacing w:line="360" w:lineRule="auto"/>
        <w:jc w:val="both"/>
        <w:rPr>
          <w:rFonts w:ascii="Verdana" w:hAnsi="Verdana"/>
          <w:lang w:val="ro-RO"/>
        </w:rPr>
      </w:pPr>
      <w:r>
        <w:rPr>
          <w:rFonts w:ascii="Verdana" w:hAnsi="Verdana"/>
          <w:lang w:val="ro-RO"/>
        </w:rPr>
        <w:tab/>
        <w:t>Bolile în relaţie cu presiunea arterială ridicată au un impact major asupra cheltuielilor de sănătate (</w:t>
      </w:r>
      <w:r w:rsidRPr="004050AE">
        <w:rPr>
          <w:rStyle w:val="FootnoteReference"/>
          <w:rFonts w:ascii="Verdana" w:hAnsi="Verdana"/>
          <w:vertAlign w:val="baseline"/>
          <w:lang w:val="ro-RO"/>
        </w:rPr>
        <w:footnoteReference w:id="11"/>
      </w:r>
      <w:r>
        <w:rPr>
          <w:rFonts w:ascii="Verdana" w:hAnsi="Verdana"/>
          <w:lang w:val="ro-RO"/>
        </w:rPr>
        <w:t xml:space="preserve">). </w:t>
      </w:r>
      <w:r w:rsidR="001D4E55">
        <w:rPr>
          <w:rFonts w:ascii="Verdana" w:hAnsi="Verdana"/>
          <w:lang w:val="ro-RO"/>
        </w:rPr>
        <w:t xml:space="preserve">Se estimează că 10% din cheltuielile pentru sănătate sunt în relaţie directă cu presiunea arterială ridicată şi complicaţiile ei. </w:t>
      </w:r>
    </w:p>
    <w:p w:rsidR="001D4E55" w:rsidRDefault="001D4E55" w:rsidP="004344AA">
      <w:pPr>
        <w:spacing w:line="360" w:lineRule="auto"/>
        <w:jc w:val="both"/>
        <w:rPr>
          <w:rFonts w:ascii="Verdana" w:hAnsi="Verdana"/>
          <w:lang w:val="ro-RO"/>
        </w:rPr>
      </w:pPr>
      <w:r>
        <w:rPr>
          <w:rFonts w:ascii="Verdana" w:hAnsi="Verdana"/>
          <w:lang w:val="ro-RO"/>
        </w:rPr>
        <w:tab/>
        <w:t>Factorii de risc comportamental joacă un rol major în creşterea presiunii arteriale (</w:t>
      </w:r>
      <w:r w:rsidRPr="004050AE">
        <w:rPr>
          <w:rStyle w:val="FootnoteReference"/>
          <w:rFonts w:ascii="Verdana" w:hAnsi="Verdana"/>
          <w:vertAlign w:val="baseline"/>
          <w:lang w:val="ro-RO"/>
        </w:rPr>
        <w:footnoteReference w:id="12"/>
      </w:r>
      <w:r>
        <w:rPr>
          <w:rFonts w:ascii="Verdana" w:hAnsi="Verdana"/>
          <w:lang w:val="ro-RO"/>
        </w:rPr>
        <w:t xml:space="preserve">). </w:t>
      </w:r>
    </w:p>
    <w:p w:rsidR="00B555EA" w:rsidRPr="005B004B" w:rsidRDefault="00B555EA" w:rsidP="004344AA">
      <w:pPr>
        <w:spacing w:line="360" w:lineRule="auto"/>
        <w:jc w:val="both"/>
        <w:rPr>
          <w:rFonts w:ascii="Verdana" w:hAnsi="Verdana"/>
          <w:lang w:val="ro-RO"/>
        </w:rPr>
      </w:pPr>
      <w:r>
        <w:rPr>
          <w:rFonts w:ascii="Verdana" w:hAnsi="Verdana"/>
          <w:lang w:val="ro-RO"/>
        </w:rPr>
        <w:lastRenderedPageBreak/>
        <w:tab/>
      </w:r>
    </w:p>
    <w:p w:rsidR="00DF2A7B" w:rsidRPr="005B004B" w:rsidRDefault="00DF2A7B" w:rsidP="00422F1E">
      <w:pPr>
        <w:spacing w:line="360" w:lineRule="auto"/>
        <w:jc w:val="both"/>
        <w:rPr>
          <w:rFonts w:ascii="Verdana" w:hAnsi="Verdana"/>
          <w:b/>
          <w:lang w:val="ro-RO"/>
        </w:rPr>
      </w:pPr>
      <w:r w:rsidRPr="005B004B">
        <w:rPr>
          <w:rFonts w:ascii="Verdana" w:hAnsi="Verdana"/>
          <w:b/>
          <w:lang w:val="ro-RO"/>
        </w:rPr>
        <w:t>B. Naţionale</w:t>
      </w:r>
    </w:p>
    <w:p w:rsidR="005F402D" w:rsidRDefault="00D04D84" w:rsidP="00C32FB2">
      <w:pPr>
        <w:spacing w:line="360" w:lineRule="auto"/>
        <w:ind w:firstLine="720"/>
        <w:jc w:val="both"/>
        <w:rPr>
          <w:rFonts w:ascii="Verdana" w:hAnsi="Verdana"/>
          <w:lang w:val="ro-RO"/>
        </w:rPr>
      </w:pPr>
      <w:r w:rsidRPr="005B004B">
        <w:rPr>
          <w:rFonts w:ascii="Verdana" w:hAnsi="Verdana"/>
          <w:lang w:val="ro-RO"/>
        </w:rPr>
        <w:t xml:space="preserve">Datele din studiul </w:t>
      </w:r>
      <w:r w:rsidRPr="00666E19">
        <w:rPr>
          <w:rFonts w:ascii="Verdana" w:hAnsi="Verdana"/>
          <w:b/>
          <w:lang w:val="ro-RO"/>
        </w:rPr>
        <w:t xml:space="preserve">SEPHAR </w:t>
      </w:r>
      <w:r w:rsidR="00666E19" w:rsidRPr="00666E19">
        <w:rPr>
          <w:rFonts w:ascii="Verdana" w:hAnsi="Verdana"/>
          <w:b/>
          <w:lang w:val="ro-RO"/>
        </w:rPr>
        <w:t>I</w:t>
      </w:r>
      <w:r w:rsidR="00666E19">
        <w:rPr>
          <w:rFonts w:ascii="Verdana" w:hAnsi="Verdana"/>
          <w:lang w:val="ro-RO"/>
        </w:rPr>
        <w:t xml:space="preserve"> </w:t>
      </w:r>
      <w:r w:rsidRPr="005B004B">
        <w:rPr>
          <w:rFonts w:ascii="Verdana" w:hAnsi="Verdana"/>
          <w:lang w:val="ro-RO"/>
        </w:rPr>
        <w:t>(</w:t>
      </w:r>
      <w:r w:rsidR="00CA252E" w:rsidRPr="004050AE">
        <w:rPr>
          <w:rStyle w:val="FootnoteReference"/>
          <w:rFonts w:ascii="Verdana" w:hAnsi="Verdana"/>
          <w:vertAlign w:val="baseline"/>
          <w:lang w:val="ro-RO"/>
        </w:rPr>
        <w:footnoteReference w:id="13"/>
      </w:r>
      <w:r w:rsidR="00710C87" w:rsidRPr="00CA252E">
        <w:rPr>
          <w:rFonts w:ascii="Verdana" w:hAnsi="Verdana"/>
          <w:lang w:val="ro-RO"/>
        </w:rPr>
        <w:t>)</w:t>
      </w:r>
      <w:r w:rsidR="00710C87" w:rsidRPr="005B004B">
        <w:rPr>
          <w:rFonts w:ascii="Verdana" w:hAnsi="Verdana"/>
          <w:lang w:val="ro-RO"/>
        </w:rPr>
        <w:t xml:space="preserve">, primul studiu care a vizat prevalenţa şi controlul HTA pe un eşantion reprezentativ pentru populaţia României </w:t>
      </w:r>
      <w:r w:rsidRPr="005B004B">
        <w:rPr>
          <w:rFonts w:ascii="Verdana" w:hAnsi="Verdana"/>
          <w:lang w:val="ro-RO"/>
        </w:rPr>
        <w:t xml:space="preserve">au arătat o prevalenţă </w:t>
      </w:r>
      <w:r w:rsidR="00710C87" w:rsidRPr="005B004B">
        <w:rPr>
          <w:rFonts w:ascii="Verdana" w:hAnsi="Verdana"/>
          <w:lang w:val="ro-RO"/>
        </w:rPr>
        <w:t xml:space="preserve">generală a HTA de 44,92%, mai mare la bărbaţi (50,17%) decât la femei (41,11%) şi în mediul rural (49,47%) comparativ cu cel urban (41,58%). </w:t>
      </w:r>
    </w:p>
    <w:p w:rsidR="00C32FB2" w:rsidRDefault="009C291E" w:rsidP="00C32FB2">
      <w:pPr>
        <w:spacing w:line="360" w:lineRule="auto"/>
        <w:ind w:firstLine="720"/>
        <w:jc w:val="both"/>
        <w:rPr>
          <w:rFonts w:ascii="Verdana" w:hAnsi="Verdana"/>
          <w:lang w:val="ro-RO"/>
        </w:rPr>
      </w:pPr>
      <w:r w:rsidRPr="009C291E">
        <w:rPr>
          <w:rFonts w:ascii="Verdana" w:hAnsi="Verdana"/>
          <w:lang w:val="ro-RO"/>
        </w:rPr>
        <w:t xml:space="preserve">In 2011 </w:t>
      </w:r>
      <w:r>
        <w:rPr>
          <w:rFonts w:ascii="Verdana" w:hAnsi="Verdana"/>
          <w:lang w:val="ro-RO"/>
        </w:rPr>
        <w:t>un al doilea studiu</w:t>
      </w:r>
      <w:r w:rsidRPr="009C291E">
        <w:rPr>
          <w:rFonts w:ascii="Verdana" w:hAnsi="Verdana"/>
          <w:lang w:val="ro-RO"/>
        </w:rPr>
        <w:t xml:space="preserve"> epidemiologic, </w:t>
      </w:r>
      <w:r w:rsidRPr="00666E19">
        <w:rPr>
          <w:rFonts w:ascii="Verdana" w:hAnsi="Verdana"/>
          <w:b/>
          <w:lang w:val="ro-RO"/>
        </w:rPr>
        <w:t>SEPHAR II</w:t>
      </w:r>
      <w:r w:rsidRPr="009C291E">
        <w:rPr>
          <w:rFonts w:ascii="Verdana" w:hAnsi="Verdana"/>
          <w:lang w:val="ro-RO"/>
        </w:rPr>
        <w:t xml:space="preserve"> </w:t>
      </w:r>
      <w:r w:rsidR="00C805B4">
        <w:rPr>
          <w:rFonts w:ascii="Verdana" w:hAnsi="Verdana"/>
          <w:lang w:val="ro-RO"/>
        </w:rPr>
        <w:t>a fost iniţiat,</w:t>
      </w:r>
      <w:r>
        <w:rPr>
          <w:rFonts w:ascii="Verdana" w:hAnsi="Verdana"/>
          <w:lang w:val="ro-RO"/>
        </w:rPr>
        <w:t xml:space="preserve"> pentru o estimare mai acurată a prevalenţei factorilor de risc CV la populaţia adultă din România şi a tendinţelor (</w:t>
      </w:r>
      <w:r w:rsidRPr="004050AE">
        <w:rPr>
          <w:rStyle w:val="FootnoteReference"/>
          <w:rFonts w:ascii="Verdana" w:hAnsi="Verdana"/>
          <w:vertAlign w:val="baseline"/>
          <w:lang w:val="ro-RO"/>
        </w:rPr>
        <w:footnoteReference w:id="14"/>
      </w:r>
      <w:r>
        <w:rPr>
          <w:rFonts w:ascii="Verdana" w:hAnsi="Verdana"/>
          <w:lang w:val="ro-RO"/>
        </w:rPr>
        <w:t>). Conform acestui studiu prevalenţa globală a HTA a fost de 40,4</w:t>
      </w:r>
      <w:r w:rsidR="00C32FB2">
        <w:rPr>
          <w:rFonts w:ascii="Verdana" w:hAnsi="Verdana"/>
          <w:lang w:val="ro-RO"/>
        </w:rPr>
        <w:t xml:space="preserve">%. (54,9% femei). Prevalenţa HTA a fost mai mare în mediul urban (59,5%) faţă de rural (40,5%). Conform studiului </w:t>
      </w:r>
      <w:r w:rsidR="00C32FB2" w:rsidRPr="00C32FB2">
        <w:rPr>
          <w:rFonts w:ascii="Verdana" w:hAnsi="Verdana"/>
          <w:lang w:val="ro-RO"/>
        </w:rPr>
        <w:t xml:space="preserve">SEPHAR II </w:t>
      </w:r>
      <w:r w:rsidR="00C32FB2">
        <w:rPr>
          <w:rFonts w:ascii="Verdana" w:hAnsi="Verdana"/>
          <w:lang w:val="ro-RO"/>
        </w:rPr>
        <w:t>profilul pacientului român hipertensiv s-a schimbat</w:t>
      </w:r>
      <w:r w:rsidR="00614C74">
        <w:rPr>
          <w:rFonts w:ascii="Verdana" w:hAnsi="Verdana"/>
          <w:lang w:val="ro-RO"/>
        </w:rPr>
        <w:t xml:space="preserve">, de la bărbat de vârstă medie, mai frecvent din mediul rural către femeie de vârstă medie, mai frecvent din mediul urban, profil similar cu cel observat în ţări ca Polonia, Croaţia, Turcia şi Spania  </w:t>
      </w:r>
      <w:r w:rsidR="00614C74" w:rsidRPr="004050AE">
        <w:rPr>
          <w:rFonts w:ascii="Verdana" w:hAnsi="Verdana"/>
          <w:lang w:val="ro-RO"/>
        </w:rPr>
        <w:t>(</w:t>
      </w:r>
      <w:r w:rsidR="00614C74" w:rsidRPr="004050AE">
        <w:rPr>
          <w:rStyle w:val="FootnoteReference"/>
          <w:rFonts w:ascii="Verdana" w:hAnsi="Verdana"/>
          <w:vertAlign w:val="baseline"/>
          <w:lang w:val="ro-RO"/>
        </w:rPr>
        <w:footnoteReference w:id="15"/>
      </w:r>
      <w:r w:rsidR="00614C74" w:rsidRPr="004050AE">
        <w:rPr>
          <w:rFonts w:ascii="Verdana" w:hAnsi="Verdana"/>
          <w:lang w:val="ro-RO"/>
        </w:rPr>
        <w:t xml:space="preserve">, </w:t>
      </w:r>
      <w:r w:rsidR="00614C74" w:rsidRPr="004050AE">
        <w:rPr>
          <w:rStyle w:val="FootnoteReference"/>
          <w:rFonts w:ascii="Verdana" w:hAnsi="Verdana"/>
          <w:vertAlign w:val="baseline"/>
          <w:lang w:val="ro-RO"/>
        </w:rPr>
        <w:footnoteReference w:id="16"/>
      </w:r>
      <w:r w:rsidR="00614C74" w:rsidRPr="004050AE">
        <w:rPr>
          <w:rFonts w:ascii="Verdana" w:hAnsi="Verdana"/>
          <w:lang w:val="ro-RO"/>
        </w:rPr>
        <w:t xml:space="preserve">, </w:t>
      </w:r>
      <w:r w:rsidR="00614C74" w:rsidRPr="004050AE">
        <w:rPr>
          <w:rStyle w:val="FootnoteReference"/>
          <w:rFonts w:ascii="Verdana" w:hAnsi="Verdana"/>
          <w:vertAlign w:val="baseline"/>
          <w:lang w:val="ro-RO"/>
        </w:rPr>
        <w:footnoteReference w:id="17"/>
      </w:r>
      <w:r w:rsidR="00614C74" w:rsidRPr="004050AE">
        <w:rPr>
          <w:rFonts w:ascii="Verdana" w:hAnsi="Verdana"/>
          <w:lang w:val="ro-RO"/>
        </w:rPr>
        <w:t xml:space="preserve">, </w:t>
      </w:r>
      <w:r w:rsidR="00614C74" w:rsidRPr="004050AE">
        <w:rPr>
          <w:rStyle w:val="FootnoteReference"/>
          <w:rFonts w:ascii="Verdana" w:hAnsi="Verdana"/>
          <w:vertAlign w:val="baseline"/>
          <w:lang w:val="ro-RO"/>
        </w:rPr>
        <w:footnoteReference w:id="18"/>
      </w:r>
      <w:r w:rsidR="00614C74" w:rsidRPr="004050AE">
        <w:rPr>
          <w:rFonts w:ascii="Verdana" w:hAnsi="Verdana"/>
          <w:lang w:val="ro-RO"/>
        </w:rPr>
        <w:t>).</w:t>
      </w:r>
      <w:r w:rsidR="00614C74">
        <w:rPr>
          <w:rFonts w:ascii="Verdana" w:hAnsi="Verdana"/>
          <w:lang w:val="ro-RO"/>
        </w:rPr>
        <w:t xml:space="preserve">  </w:t>
      </w:r>
    </w:p>
    <w:p w:rsidR="00614C74" w:rsidRDefault="00C805B4" w:rsidP="00666E19">
      <w:pPr>
        <w:spacing w:line="360" w:lineRule="auto"/>
        <w:ind w:firstLine="720"/>
        <w:jc w:val="both"/>
        <w:rPr>
          <w:rFonts w:ascii="Verdana" w:hAnsi="Verdana"/>
          <w:b/>
          <w:lang w:val="ro-RO"/>
        </w:rPr>
      </w:pPr>
      <w:r>
        <w:rPr>
          <w:rFonts w:ascii="Verdana" w:hAnsi="Verdana"/>
          <w:lang w:val="ro-RO"/>
        </w:rPr>
        <w:t xml:space="preserve">Într-un interval de 7 ani, a fost înregistrată o reducere a prevalenţei hipertensiunii arteriale cu 10,7% şi o creştere cu 57% a </w:t>
      </w:r>
      <w:r>
        <w:rPr>
          <w:rFonts w:ascii="Verdana" w:hAnsi="Verdana"/>
          <w:lang w:val="ro-RO"/>
        </w:rPr>
        <w:lastRenderedPageBreak/>
        <w:t xml:space="preserve">gradului de conştientizare şi cu 52% a tratamentului HTA, ceea ce a condus </w:t>
      </w:r>
      <w:r w:rsidR="00666E19">
        <w:rPr>
          <w:rFonts w:ascii="Verdana" w:hAnsi="Verdana"/>
          <w:lang w:val="ro-RO"/>
        </w:rPr>
        <w:t>aproape</w:t>
      </w:r>
      <w:r>
        <w:rPr>
          <w:rFonts w:ascii="Verdana" w:hAnsi="Verdana"/>
          <w:lang w:val="ro-RO"/>
        </w:rPr>
        <w:t xml:space="preserve"> la dublarea ratei de control a HTA la pacienţi </w:t>
      </w:r>
      <w:r>
        <w:rPr>
          <w:rStyle w:val="FootnoteReference"/>
          <w:rFonts w:ascii="Verdana" w:hAnsi="Verdana"/>
          <w:lang w:val="ro-RO"/>
        </w:rPr>
        <w:footnoteReference w:id="19"/>
      </w:r>
      <w:r>
        <w:rPr>
          <w:rFonts w:ascii="Verdana" w:hAnsi="Verdana"/>
          <w:lang w:val="ro-RO"/>
        </w:rPr>
        <w:t xml:space="preserve"> </w:t>
      </w:r>
      <w:r w:rsidR="00127DAC">
        <w:rPr>
          <w:rFonts w:ascii="Verdana" w:hAnsi="Verdana"/>
          <w:lang w:val="ro-RO"/>
        </w:rPr>
        <w:t>.</w:t>
      </w:r>
    </w:p>
    <w:p w:rsidR="00614C74" w:rsidRDefault="00614C74" w:rsidP="00BC353C">
      <w:pPr>
        <w:spacing w:line="360" w:lineRule="auto"/>
        <w:jc w:val="both"/>
        <w:rPr>
          <w:rFonts w:ascii="Verdana" w:hAnsi="Verdana"/>
          <w:b/>
          <w:lang w:val="ro-RO"/>
        </w:rPr>
      </w:pPr>
    </w:p>
    <w:p w:rsidR="00BC353C" w:rsidRPr="00BC353C" w:rsidRDefault="00BC353C" w:rsidP="00BC353C">
      <w:pPr>
        <w:spacing w:line="360" w:lineRule="auto"/>
        <w:jc w:val="both"/>
        <w:rPr>
          <w:rFonts w:ascii="Verdana" w:hAnsi="Verdana"/>
          <w:lang w:val="ro-RO"/>
        </w:rPr>
      </w:pPr>
      <w:r>
        <w:rPr>
          <w:rFonts w:ascii="Verdana" w:hAnsi="Verdana"/>
          <w:b/>
          <w:lang w:val="ro-RO"/>
        </w:rPr>
        <w:t xml:space="preserve">II. </w:t>
      </w:r>
      <w:r w:rsidRPr="005B004B">
        <w:rPr>
          <w:rFonts w:ascii="Verdana" w:hAnsi="Verdana"/>
          <w:b/>
          <w:lang w:val="ro-RO"/>
        </w:rPr>
        <w:t>Rezultate relevante din studii</w:t>
      </w:r>
    </w:p>
    <w:p w:rsidR="00A518EF" w:rsidRPr="005B004B" w:rsidRDefault="00A518EF" w:rsidP="003E7A4E">
      <w:pPr>
        <w:numPr>
          <w:ilvl w:val="0"/>
          <w:numId w:val="19"/>
        </w:numPr>
        <w:spacing w:line="360" w:lineRule="auto"/>
        <w:jc w:val="both"/>
        <w:rPr>
          <w:rFonts w:ascii="Verdana" w:hAnsi="Verdana"/>
          <w:lang w:val="ro-RO"/>
        </w:rPr>
      </w:pPr>
      <w:r w:rsidRPr="005B004B">
        <w:rPr>
          <w:rFonts w:ascii="Verdana" w:hAnsi="Verdana"/>
          <w:lang w:val="ro-RO"/>
        </w:rPr>
        <w:t xml:space="preserve">Un studiu </w:t>
      </w:r>
      <w:r w:rsidR="00110857">
        <w:rPr>
          <w:rFonts w:ascii="Verdana" w:hAnsi="Verdana"/>
          <w:lang w:val="ro-RO"/>
        </w:rPr>
        <w:t xml:space="preserve">din 2003 </w:t>
      </w:r>
      <w:r w:rsidRPr="005B004B">
        <w:rPr>
          <w:rFonts w:ascii="Verdana" w:hAnsi="Verdana"/>
          <w:lang w:val="ro-RO"/>
        </w:rPr>
        <w:t>care a vizat nivelele presiunii arteriale şi hipertensiunea în 6 ţări Europene, Canada şi SUA (</w:t>
      </w:r>
      <w:r w:rsidR="00CA252E" w:rsidRPr="004050AE">
        <w:rPr>
          <w:rStyle w:val="FootnoteReference"/>
          <w:rFonts w:ascii="Verdana" w:hAnsi="Verdana"/>
          <w:vertAlign w:val="baseline"/>
          <w:lang w:val="ro-RO"/>
        </w:rPr>
        <w:footnoteReference w:id="20"/>
      </w:r>
      <w:r w:rsidRPr="005B004B">
        <w:rPr>
          <w:rFonts w:ascii="Verdana" w:hAnsi="Verdana"/>
          <w:lang w:val="ro-RO"/>
        </w:rPr>
        <w:t xml:space="preserve">) a relevat valori mai ridicate ale presiunii arteriale în ţările Europene, comparativ cu cel Nord Americane. Prevalenţa HTA a fost cea mai ridicată în Germania (55%), urmată de Finlanda (49%), Spania (47%), Anglia (42%), Suedia şi Italia (38%).  Prevalenţele HTA în SUA şi Canada au fost la jumătate, comparativ cu cea din Germania (28% şi respectiv 27%). </w:t>
      </w:r>
      <w:r w:rsidR="00700CA8" w:rsidRPr="005B004B">
        <w:rPr>
          <w:rFonts w:ascii="Verdana" w:hAnsi="Verdana"/>
          <w:lang w:val="ro-RO"/>
        </w:rPr>
        <w:t>Pentr</w:t>
      </w:r>
      <w:r w:rsidR="003538FC">
        <w:rPr>
          <w:rFonts w:ascii="Verdana" w:hAnsi="Verdana"/>
          <w:lang w:val="ro-RO"/>
        </w:rPr>
        <w:t>u ţările Europene prevalenţa HTA</w:t>
      </w:r>
      <w:r w:rsidR="00700CA8" w:rsidRPr="005B004B">
        <w:rPr>
          <w:rFonts w:ascii="Verdana" w:hAnsi="Verdana"/>
          <w:lang w:val="ro-RO"/>
        </w:rPr>
        <w:t xml:space="preserve"> a fost în medie de 44,2%, comparativ cu 27,6% în America de Nord.</w:t>
      </w:r>
    </w:p>
    <w:p w:rsidR="001A0748" w:rsidRPr="005B004B" w:rsidRDefault="001A0748" w:rsidP="001A0748">
      <w:pPr>
        <w:spacing w:line="360" w:lineRule="auto"/>
        <w:jc w:val="both"/>
        <w:rPr>
          <w:rFonts w:ascii="Verdana" w:hAnsi="Verdana"/>
          <w:lang w:val="ro-RO"/>
        </w:rPr>
      </w:pPr>
    </w:p>
    <w:p w:rsidR="00700CA8" w:rsidRPr="005B004B" w:rsidRDefault="00AC4EEC" w:rsidP="00700CA8">
      <w:pPr>
        <w:numPr>
          <w:ilvl w:val="0"/>
          <w:numId w:val="19"/>
        </w:numPr>
        <w:spacing w:line="360" w:lineRule="auto"/>
        <w:jc w:val="both"/>
        <w:rPr>
          <w:rFonts w:ascii="Verdana" w:hAnsi="Verdana"/>
          <w:lang w:val="ro-RO"/>
        </w:rPr>
      </w:pPr>
      <w:r w:rsidRPr="005B004B">
        <w:rPr>
          <w:rFonts w:ascii="Verdana" w:hAnsi="Verdana"/>
          <w:lang w:val="ro-RO"/>
        </w:rPr>
        <w:t xml:space="preserve">Prevalenţa ajustată </w:t>
      </w:r>
      <w:r w:rsidR="001A0748" w:rsidRPr="005B004B">
        <w:rPr>
          <w:rFonts w:ascii="Verdana" w:hAnsi="Verdana"/>
          <w:lang w:val="ro-RO"/>
        </w:rPr>
        <w:t xml:space="preserve">a HTA </w:t>
      </w:r>
      <w:r w:rsidRPr="005B004B">
        <w:rPr>
          <w:rFonts w:ascii="Verdana" w:hAnsi="Verdana"/>
          <w:lang w:val="ro-RO"/>
        </w:rPr>
        <w:t xml:space="preserve">în raport cu vârsta la adulţii din SUA a fost de 28,6% în 2009-2010. Dintre adulţii cu HTA, 81,9% îşi recunoşteau această condiţie şi 76,4% luau în mod curent medicaţie pentru reducerea presiunii arteriale. S-a observat o creştere semnificativă în ceea ce priveşte controlul HTA, de la 48,4% în </w:t>
      </w:r>
      <w:r w:rsidR="004050AE">
        <w:rPr>
          <w:rFonts w:ascii="Verdana" w:hAnsi="Verdana"/>
          <w:lang w:val="ro-RO"/>
        </w:rPr>
        <w:t>2007-2008 la 53,3% în 2009-1010</w:t>
      </w:r>
      <w:r w:rsidRPr="005B004B">
        <w:rPr>
          <w:rFonts w:ascii="Verdana" w:hAnsi="Verdana"/>
          <w:lang w:val="ro-RO"/>
        </w:rPr>
        <w:t xml:space="preserve"> (</w:t>
      </w:r>
      <w:r w:rsidR="00CA252E" w:rsidRPr="004050AE">
        <w:rPr>
          <w:rStyle w:val="FootnoteReference"/>
          <w:rFonts w:ascii="Verdana" w:hAnsi="Verdana"/>
          <w:vertAlign w:val="baseline"/>
          <w:lang w:val="ro-RO"/>
        </w:rPr>
        <w:footnoteReference w:id="21"/>
      </w:r>
      <w:r w:rsidRPr="005B004B">
        <w:rPr>
          <w:rFonts w:ascii="Verdana" w:hAnsi="Verdana"/>
          <w:lang w:val="ro-RO"/>
        </w:rPr>
        <w:t xml:space="preserve">). </w:t>
      </w:r>
    </w:p>
    <w:p w:rsidR="001A0748" w:rsidRPr="005B004B" w:rsidRDefault="001A0748" w:rsidP="001A0748">
      <w:pPr>
        <w:spacing w:line="360" w:lineRule="auto"/>
        <w:jc w:val="both"/>
        <w:rPr>
          <w:rFonts w:ascii="Verdana" w:hAnsi="Verdana"/>
          <w:lang w:val="ro-RO"/>
        </w:rPr>
      </w:pPr>
    </w:p>
    <w:p w:rsidR="002D7DC2" w:rsidRPr="002D7DC2" w:rsidRDefault="00700CA8" w:rsidP="002D7DC2">
      <w:pPr>
        <w:numPr>
          <w:ilvl w:val="0"/>
          <w:numId w:val="19"/>
        </w:numPr>
        <w:spacing w:line="360" w:lineRule="auto"/>
        <w:jc w:val="both"/>
        <w:rPr>
          <w:rFonts w:ascii="AdvOTb7819099" w:hAnsi="AdvOTb7819099" w:cs="AdvOTb7819099"/>
          <w:sz w:val="18"/>
          <w:szCs w:val="18"/>
          <w:lang w:val="ro-RO"/>
        </w:rPr>
      </w:pPr>
      <w:r w:rsidRPr="005B004B">
        <w:rPr>
          <w:rFonts w:ascii="Verdana" w:hAnsi="Verdana"/>
          <w:lang w:val="ro-RO"/>
        </w:rPr>
        <w:t xml:space="preserve">Conform unui studiu publicat în 2011 prevalenţa HTA a în rândul populaţiei adulte din Arabia Saudită </w:t>
      </w:r>
      <w:r w:rsidR="0071605F">
        <w:rPr>
          <w:rFonts w:ascii="Verdana" w:hAnsi="Verdana"/>
          <w:lang w:val="ro-RO"/>
        </w:rPr>
        <w:t>în vârstă de 15-64 ani fost de 25,</w:t>
      </w:r>
      <w:r w:rsidRPr="005B004B">
        <w:rPr>
          <w:rFonts w:ascii="Verdana" w:hAnsi="Verdana"/>
          <w:lang w:val="ro-RO"/>
        </w:rPr>
        <w:t>5% (</w:t>
      </w:r>
      <w:r w:rsidR="00CA252E" w:rsidRPr="004050AE">
        <w:rPr>
          <w:rStyle w:val="FootnoteReference"/>
          <w:rFonts w:ascii="Verdana" w:hAnsi="Verdana"/>
          <w:vertAlign w:val="baseline"/>
          <w:lang w:val="ro-RO"/>
        </w:rPr>
        <w:footnoteReference w:id="22"/>
      </w:r>
      <w:r w:rsidRPr="005B004B">
        <w:rPr>
          <w:rFonts w:ascii="Verdana" w:hAnsi="Verdana" w:cs="Minion-Regular"/>
          <w:lang w:val="ro-RO"/>
        </w:rPr>
        <w:t>).</w:t>
      </w:r>
    </w:p>
    <w:p w:rsidR="002D7DC2" w:rsidRDefault="002D7DC2" w:rsidP="002D7DC2">
      <w:pPr>
        <w:spacing w:line="360" w:lineRule="auto"/>
        <w:jc w:val="both"/>
        <w:rPr>
          <w:rFonts w:ascii="Verdana" w:hAnsi="Verdana"/>
          <w:lang w:val="ro-RO"/>
        </w:rPr>
      </w:pPr>
    </w:p>
    <w:p w:rsidR="001A0748" w:rsidRPr="002D7DC2" w:rsidRDefault="003E7A4E" w:rsidP="002D7DC2">
      <w:pPr>
        <w:numPr>
          <w:ilvl w:val="0"/>
          <w:numId w:val="19"/>
        </w:numPr>
        <w:autoSpaceDE w:val="0"/>
        <w:autoSpaceDN w:val="0"/>
        <w:adjustRightInd w:val="0"/>
        <w:spacing w:line="360" w:lineRule="auto"/>
        <w:jc w:val="both"/>
        <w:rPr>
          <w:rFonts w:ascii="Verdana" w:hAnsi="Verdana"/>
          <w:lang w:val="ro-RO"/>
        </w:rPr>
      </w:pPr>
      <w:r w:rsidRPr="005B004B">
        <w:rPr>
          <w:rFonts w:ascii="Verdana" w:hAnsi="Verdana"/>
          <w:lang w:val="ro-RO"/>
        </w:rPr>
        <w:t>Rezultatele studi</w:t>
      </w:r>
      <w:r w:rsidR="000A33A6" w:rsidRPr="005B004B">
        <w:rPr>
          <w:rFonts w:ascii="Verdana" w:hAnsi="Verdana"/>
          <w:lang w:val="ro-RO"/>
        </w:rPr>
        <w:t xml:space="preserve">ului </w:t>
      </w:r>
      <w:r w:rsidR="000A33A6" w:rsidRPr="005B004B">
        <w:rPr>
          <w:rFonts w:ascii="Verdana" w:hAnsi="Verdana"/>
          <w:b/>
          <w:lang w:val="ro-RO"/>
        </w:rPr>
        <w:t>BP-CARE</w:t>
      </w:r>
      <w:r w:rsidR="001A0748" w:rsidRPr="005B004B">
        <w:rPr>
          <w:rFonts w:ascii="Verdana" w:hAnsi="Verdana" w:cs="AdvOT9069d8b3.B"/>
          <w:color w:val="008394"/>
          <w:lang w:val="ro-RO"/>
        </w:rPr>
        <w:t xml:space="preserve"> </w:t>
      </w:r>
      <w:r w:rsidR="001A0748" w:rsidRPr="005B004B">
        <w:rPr>
          <w:rFonts w:ascii="Verdana" w:hAnsi="Verdana" w:cs="AdvOT9069d8b3.B"/>
          <w:lang w:val="ro-RO"/>
        </w:rPr>
        <w:t>(</w:t>
      </w:r>
      <w:r w:rsidR="00CA252E" w:rsidRPr="004050AE">
        <w:rPr>
          <w:rStyle w:val="FootnoteReference"/>
          <w:rFonts w:ascii="Verdana" w:hAnsi="Verdana" w:cs="AdvOT9069d8b3.B"/>
          <w:vertAlign w:val="baseline"/>
          <w:lang w:val="ro-RO"/>
        </w:rPr>
        <w:footnoteReference w:id="23"/>
      </w:r>
      <w:r w:rsidR="001A0748" w:rsidRPr="0071605F">
        <w:rPr>
          <w:rFonts w:ascii="Verdana" w:hAnsi="Verdana" w:cs="AdvOTb7819099"/>
          <w:lang w:val="ro-RO"/>
        </w:rPr>
        <w:t xml:space="preserve">) </w:t>
      </w:r>
      <w:r w:rsidR="000A33A6" w:rsidRPr="0071605F">
        <w:rPr>
          <w:rFonts w:ascii="Verdana" w:hAnsi="Verdana"/>
          <w:lang w:val="ro-RO"/>
        </w:rPr>
        <w:t>derulat în Ţările Eu</w:t>
      </w:r>
      <w:r w:rsidRPr="0071605F">
        <w:rPr>
          <w:rFonts w:ascii="Verdana" w:hAnsi="Verdana"/>
          <w:lang w:val="ro-RO"/>
        </w:rPr>
        <w:t>ropei Centrale şi de Est, printre care</w:t>
      </w:r>
      <w:r w:rsidRPr="005B004B">
        <w:rPr>
          <w:rFonts w:ascii="Verdana" w:hAnsi="Verdana"/>
          <w:lang w:val="ro-RO"/>
        </w:rPr>
        <w:t xml:space="preserve"> şi România au relevat faptul că </w:t>
      </w:r>
      <w:r w:rsidR="001A0748" w:rsidRPr="005B004B">
        <w:rPr>
          <w:rFonts w:ascii="Verdana" w:hAnsi="Verdana"/>
          <w:lang w:val="ro-RO"/>
        </w:rPr>
        <w:t>în aceste ţări controlul presiunii arteriale este nesatisfăcător, îndeosebi în cazul pacienţilor la risc cardiovascular înalt, dar nu diferă de cel observat în ţările vest europene.</w:t>
      </w:r>
      <w:r w:rsidR="002D7DC2">
        <w:rPr>
          <w:rFonts w:ascii="Verdana" w:hAnsi="Verdana"/>
          <w:lang w:val="ro-RO"/>
        </w:rPr>
        <w:t xml:space="preserve"> Această situaţie are implicaţii majore pentru sănătatea publică, deoarece s-a demonstrat că un control ineficient al presiunii arteriale </w:t>
      </w:r>
      <w:r w:rsidR="001A0748" w:rsidRPr="005B004B">
        <w:rPr>
          <w:rFonts w:ascii="Verdana" w:hAnsi="Verdana" w:cs="AdvOTb7819099"/>
          <w:color w:val="231F20"/>
          <w:lang w:val="ro-RO"/>
        </w:rPr>
        <w:t xml:space="preserve"> </w:t>
      </w:r>
      <w:r w:rsidR="002D7DC2">
        <w:rPr>
          <w:rFonts w:ascii="Verdana" w:hAnsi="Verdana" w:cs="AdvOTb7819099"/>
          <w:color w:val="231F20"/>
          <w:lang w:val="ro-RO"/>
        </w:rPr>
        <w:t xml:space="preserve">este asociat cu o creştere marcată a riscului de evenimente cardiovasculare fatale şi non-fatale. </w:t>
      </w:r>
    </w:p>
    <w:p w:rsidR="002D7DC2" w:rsidRDefault="002D7DC2" w:rsidP="002D7DC2">
      <w:pPr>
        <w:autoSpaceDE w:val="0"/>
        <w:autoSpaceDN w:val="0"/>
        <w:adjustRightInd w:val="0"/>
        <w:spacing w:line="360" w:lineRule="auto"/>
        <w:jc w:val="both"/>
        <w:rPr>
          <w:rFonts w:ascii="Verdana" w:hAnsi="Verdana"/>
          <w:lang w:val="ro-RO"/>
        </w:rPr>
      </w:pPr>
    </w:p>
    <w:p w:rsidR="003E7A4E" w:rsidRPr="005B004B" w:rsidRDefault="003E7A4E" w:rsidP="003E7A4E">
      <w:pPr>
        <w:numPr>
          <w:ilvl w:val="0"/>
          <w:numId w:val="19"/>
        </w:numPr>
        <w:autoSpaceDE w:val="0"/>
        <w:autoSpaceDN w:val="0"/>
        <w:adjustRightInd w:val="0"/>
        <w:spacing w:line="360" w:lineRule="auto"/>
        <w:jc w:val="both"/>
        <w:rPr>
          <w:rFonts w:ascii="Verdana" w:hAnsi="Verdana"/>
          <w:lang w:val="pt-BR"/>
        </w:rPr>
      </w:pPr>
      <w:r w:rsidRPr="005B004B">
        <w:rPr>
          <w:rFonts w:ascii="Verdana" w:hAnsi="Verdana"/>
          <w:lang w:val="pt-BR"/>
        </w:rPr>
        <w:t>Conform studiului Global burden of cardiovascular diseases (</w:t>
      </w:r>
      <w:r w:rsidR="00CA252E" w:rsidRPr="004050AE">
        <w:rPr>
          <w:rStyle w:val="FootnoteReference"/>
          <w:rFonts w:ascii="Verdana" w:hAnsi="Verdana"/>
          <w:vertAlign w:val="baseline"/>
          <w:lang w:val="pt-BR"/>
        </w:rPr>
        <w:footnoteReference w:id="24"/>
      </w:r>
      <w:r w:rsidRPr="005B004B">
        <w:rPr>
          <w:rFonts w:ascii="Verdana" w:hAnsi="Verdana"/>
          <w:lang w:val="pt-BR"/>
        </w:rPr>
        <w:t>)</w:t>
      </w:r>
      <w:r w:rsidRPr="005B004B">
        <w:rPr>
          <w:rFonts w:ascii="Verdana" w:hAnsi="Verdana"/>
          <w:color w:val="FF0000"/>
          <w:lang w:val="pt-BR"/>
        </w:rPr>
        <w:t xml:space="preserve"> </w:t>
      </w:r>
      <w:r w:rsidRPr="005B004B">
        <w:rPr>
          <w:rFonts w:ascii="Verdana" w:hAnsi="Verdana"/>
          <w:lang w:val="pt-BR"/>
        </w:rPr>
        <w:t>se apreciazã cã din totalul de 55 milioane de decese înregistrate anual pe întreg globul, aproximativ 30% sunt decese de cauzã cardiovascularã.</w:t>
      </w:r>
    </w:p>
    <w:p w:rsidR="005331D2" w:rsidRPr="005B004B" w:rsidRDefault="005331D2" w:rsidP="005331D2">
      <w:pPr>
        <w:autoSpaceDE w:val="0"/>
        <w:autoSpaceDN w:val="0"/>
        <w:adjustRightInd w:val="0"/>
        <w:spacing w:line="360" w:lineRule="auto"/>
        <w:jc w:val="both"/>
        <w:rPr>
          <w:rFonts w:ascii="Verdana" w:hAnsi="Verdana"/>
          <w:lang w:val="pt-BR"/>
        </w:rPr>
      </w:pPr>
    </w:p>
    <w:p w:rsidR="003E7A4E" w:rsidRPr="005B004B" w:rsidRDefault="00126C28" w:rsidP="003E7A4E">
      <w:pPr>
        <w:numPr>
          <w:ilvl w:val="0"/>
          <w:numId w:val="19"/>
        </w:numPr>
        <w:autoSpaceDE w:val="0"/>
        <w:autoSpaceDN w:val="0"/>
        <w:adjustRightInd w:val="0"/>
        <w:spacing w:line="360" w:lineRule="auto"/>
        <w:jc w:val="both"/>
        <w:rPr>
          <w:rFonts w:ascii="Verdana" w:hAnsi="Verdana"/>
          <w:lang w:val="pt-BR"/>
        </w:rPr>
      </w:pPr>
      <w:r>
        <w:rPr>
          <w:rFonts w:ascii="Verdana" w:hAnsi="Verdana"/>
          <w:lang w:val="pt-BR"/>
        </w:rPr>
        <w:t xml:space="preserve"> Informaţiile</w:t>
      </w:r>
      <w:r w:rsidR="003E7A4E" w:rsidRPr="005B004B">
        <w:rPr>
          <w:rFonts w:ascii="Verdana" w:hAnsi="Verdana"/>
          <w:lang w:val="pt-BR"/>
        </w:rPr>
        <w:t xml:space="preserve"> Registrului European de Boli Cardiovasculare  (</w:t>
      </w:r>
      <w:r w:rsidR="00CA252E" w:rsidRPr="004050AE">
        <w:rPr>
          <w:rStyle w:val="FootnoteReference"/>
          <w:rFonts w:ascii="Verdana" w:hAnsi="Verdana"/>
          <w:vertAlign w:val="baseline"/>
          <w:lang w:val="pt-BR"/>
        </w:rPr>
        <w:footnoteReference w:id="25"/>
      </w:r>
      <w:r w:rsidR="003E7A4E" w:rsidRPr="005B004B">
        <w:rPr>
          <w:rFonts w:ascii="Verdana" w:hAnsi="Verdana"/>
          <w:lang w:val="pt-BR"/>
        </w:rPr>
        <w:t xml:space="preserve">) </w:t>
      </w:r>
      <w:r>
        <w:rPr>
          <w:rFonts w:ascii="Verdana" w:hAnsi="Verdana"/>
          <w:lang w:val="pt-BR"/>
        </w:rPr>
        <w:t xml:space="preserve">din </w:t>
      </w:r>
      <w:r w:rsidR="003E7A4E" w:rsidRPr="005B004B">
        <w:rPr>
          <w:rFonts w:ascii="Verdana" w:hAnsi="Verdana"/>
          <w:lang w:val="pt-BR"/>
        </w:rPr>
        <w:t xml:space="preserve">anul 2001 </w:t>
      </w:r>
      <w:r>
        <w:rPr>
          <w:rFonts w:ascii="Verdana" w:hAnsi="Verdana"/>
          <w:lang w:val="pt-BR"/>
        </w:rPr>
        <w:t xml:space="preserve">plasa </w:t>
      </w:r>
      <w:r w:rsidR="003E7A4E" w:rsidRPr="005B004B">
        <w:rPr>
          <w:rFonts w:ascii="Verdana" w:hAnsi="Verdana"/>
          <w:lang w:val="pt-BR"/>
        </w:rPr>
        <w:t xml:space="preserve">România printre ţãrile cu mortalitatea cardiovascularã cea mai ridicatã din Europa (depãşind 8/1000 locuitori). </w:t>
      </w:r>
    </w:p>
    <w:p w:rsidR="005331D2" w:rsidRPr="005B004B" w:rsidRDefault="005331D2" w:rsidP="005331D2">
      <w:pPr>
        <w:autoSpaceDE w:val="0"/>
        <w:autoSpaceDN w:val="0"/>
        <w:adjustRightInd w:val="0"/>
        <w:spacing w:line="360" w:lineRule="auto"/>
        <w:jc w:val="both"/>
        <w:rPr>
          <w:rFonts w:ascii="Verdana" w:hAnsi="Verdana"/>
          <w:lang w:val="pt-BR"/>
        </w:rPr>
      </w:pPr>
    </w:p>
    <w:p w:rsidR="005331D2" w:rsidRDefault="003E7A4E" w:rsidP="005331D2">
      <w:pPr>
        <w:numPr>
          <w:ilvl w:val="0"/>
          <w:numId w:val="19"/>
        </w:numPr>
        <w:autoSpaceDE w:val="0"/>
        <w:autoSpaceDN w:val="0"/>
        <w:adjustRightInd w:val="0"/>
        <w:spacing w:line="360" w:lineRule="auto"/>
        <w:jc w:val="both"/>
        <w:rPr>
          <w:rFonts w:ascii="Verdana" w:hAnsi="Verdana"/>
          <w:lang w:val="pt-BR"/>
        </w:rPr>
      </w:pPr>
      <w:r w:rsidRPr="005B004B">
        <w:rPr>
          <w:rFonts w:ascii="Verdana" w:hAnsi="Verdana"/>
          <w:lang w:val="pt-BR"/>
        </w:rPr>
        <w:t xml:space="preserve">Tendinţa evolutivã a curbei mortalitãţii prin </w:t>
      </w:r>
      <w:r w:rsidR="0071605F">
        <w:rPr>
          <w:rFonts w:ascii="Verdana" w:hAnsi="Verdana"/>
          <w:lang w:val="pt-BR"/>
        </w:rPr>
        <w:t>patologia cardiovasculară</w:t>
      </w:r>
      <w:r w:rsidRPr="005B004B">
        <w:rPr>
          <w:rFonts w:ascii="Verdana" w:hAnsi="Verdana"/>
          <w:lang w:val="pt-BR"/>
        </w:rPr>
        <w:t xml:space="preserve"> a înregistrat în ultimele decenii o divergenţã între ţãrile Europei Centrale şi de Est - unde a atins rate foarte înalte - şi ţãrile din nordul şi vestul Europei – unde se aflã într-o continuã scãdere (</w:t>
      </w:r>
      <w:r w:rsidR="00ED7472" w:rsidRPr="004050AE">
        <w:rPr>
          <w:rStyle w:val="FootnoteReference"/>
          <w:rFonts w:ascii="Verdana" w:hAnsi="Verdana"/>
          <w:vertAlign w:val="baseline"/>
          <w:lang w:val="pt-BR"/>
        </w:rPr>
        <w:footnoteReference w:id="26"/>
      </w:r>
      <w:r w:rsidRPr="005B004B">
        <w:rPr>
          <w:rFonts w:ascii="Verdana" w:hAnsi="Verdana"/>
          <w:lang w:val="pt-BR"/>
        </w:rPr>
        <w:t xml:space="preserve">). </w:t>
      </w:r>
    </w:p>
    <w:p w:rsidR="003E7A4E" w:rsidRDefault="003E7A4E" w:rsidP="003E7A4E">
      <w:pPr>
        <w:numPr>
          <w:ilvl w:val="0"/>
          <w:numId w:val="19"/>
        </w:numPr>
        <w:autoSpaceDE w:val="0"/>
        <w:autoSpaceDN w:val="0"/>
        <w:adjustRightInd w:val="0"/>
        <w:spacing w:line="360" w:lineRule="auto"/>
        <w:jc w:val="both"/>
        <w:rPr>
          <w:rFonts w:ascii="Verdana" w:hAnsi="Verdana"/>
          <w:lang w:val="pt-BR"/>
        </w:rPr>
      </w:pPr>
      <w:r w:rsidRPr="005B004B">
        <w:rPr>
          <w:rFonts w:ascii="Verdana" w:hAnsi="Verdana"/>
          <w:lang w:val="pt-BR"/>
        </w:rPr>
        <w:lastRenderedPageBreak/>
        <w:t>Conform studiului SEPHAR 2005 (primul studiu naţional privind epidemiologia HTA) prevalenţa hipertensiunii arteriale la nivel naţional a fost de 4</w:t>
      </w:r>
      <w:r w:rsidR="0071605F">
        <w:rPr>
          <w:rFonts w:ascii="Verdana" w:hAnsi="Verdana"/>
          <w:lang w:val="pt-BR"/>
        </w:rPr>
        <w:t>4,92</w:t>
      </w:r>
      <w:r w:rsidRPr="005B004B">
        <w:rPr>
          <w:rFonts w:ascii="Verdana" w:hAnsi="Verdana"/>
          <w:lang w:val="pt-BR"/>
        </w:rPr>
        <w:t xml:space="preserve">%, procent comparabil cu </w:t>
      </w:r>
      <w:r w:rsidR="00EC1ECC" w:rsidRPr="005B004B">
        <w:rPr>
          <w:rFonts w:ascii="Verdana" w:hAnsi="Verdana"/>
        </w:rPr>
        <w:fldChar w:fldCharType="begin"/>
      </w:r>
      <w:r w:rsidRPr="005B004B">
        <w:rPr>
          <w:rFonts w:ascii="Verdana" w:hAnsi="Verdana"/>
          <w:lang w:val="pt-BR"/>
        </w:rPr>
        <w:instrText xml:space="preserve"> HYPERLINK "http://www.informatiamedicala.ro/dictionar-medical/p/prevalenta-5142.html" </w:instrText>
      </w:r>
      <w:r w:rsidR="00EC1ECC" w:rsidRPr="005B004B">
        <w:rPr>
          <w:rFonts w:ascii="Verdana" w:hAnsi="Verdana"/>
        </w:rPr>
        <w:fldChar w:fldCharType="separate"/>
      </w:r>
      <w:r w:rsidRPr="005B004B">
        <w:rPr>
          <w:rStyle w:val="Hyperlink"/>
          <w:rFonts w:ascii="Verdana" w:hAnsi="Verdana"/>
          <w:lang w:val="pt-BR"/>
        </w:rPr>
        <w:t>prevalenţa</w:t>
      </w:r>
      <w:r w:rsidR="00EC1ECC" w:rsidRPr="005B004B">
        <w:rPr>
          <w:rFonts w:ascii="Verdana" w:hAnsi="Verdana"/>
        </w:rPr>
        <w:fldChar w:fldCharType="end"/>
      </w:r>
      <w:r w:rsidRPr="005B004B">
        <w:rPr>
          <w:rFonts w:ascii="Verdana" w:hAnsi="Verdana"/>
          <w:lang w:val="pt-BR"/>
        </w:rPr>
        <w:t xml:space="preserve"> hipertensiunii arteriale în Europa. În 2005 patru din zece adulţi sufereau de hipertensiune arterială şi foarte important mai mult de jumatate dintre ei nu se ştiau hipertensivi. O proporţie importantă dintre pacienţii nou diagnosticaţi cu hipertensiune în 2005 au fost tineri sub 40 de ani. Studiul a mai evidenţiat că 39% dintre pacienţii hipertensivi se tratau şi </w:t>
      </w:r>
      <w:r w:rsidR="0071605F">
        <w:rPr>
          <w:rFonts w:ascii="Verdana" w:hAnsi="Verdana"/>
          <w:lang w:val="pt-BR"/>
        </w:rPr>
        <w:t xml:space="preserve">doar </w:t>
      </w:r>
      <w:r w:rsidRPr="005B004B">
        <w:rPr>
          <w:rFonts w:ascii="Verdana" w:hAnsi="Verdana"/>
          <w:lang w:val="pt-BR"/>
        </w:rPr>
        <w:t>un procent foarte mic 7,8% erau bine controlaţi cu valori ale tensiunii de 14 cu 9.</w:t>
      </w:r>
    </w:p>
    <w:p w:rsidR="003F136C" w:rsidRDefault="003F136C" w:rsidP="003F136C">
      <w:pPr>
        <w:autoSpaceDE w:val="0"/>
        <w:autoSpaceDN w:val="0"/>
        <w:adjustRightInd w:val="0"/>
        <w:spacing w:line="360" w:lineRule="auto"/>
        <w:jc w:val="both"/>
        <w:rPr>
          <w:rFonts w:ascii="Verdana" w:hAnsi="Verdana"/>
          <w:lang w:val="pt-BR"/>
        </w:rPr>
      </w:pPr>
    </w:p>
    <w:p w:rsidR="003E7A4E" w:rsidRDefault="003E7A4E" w:rsidP="003E7A4E">
      <w:pPr>
        <w:numPr>
          <w:ilvl w:val="0"/>
          <w:numId w:val="19"/>
        </w:numPr>
        <w:autoSpaceDE w:val="0"/>
        <w:autoSpaceDN w:val="0"/>
        <w:adjustRightInd w:val="0"/>
        <w:spacing w:line="360" w:lineRule="auto"/>
        <w:jc w:val="both"/>
        <w:rPr>
          <w:rFonts w:ascii="Verdana" w:hAnsi="Verdana"/>
          <w:lang w:val="pt-BR"/>
        </w:rPr>
      </w:pPr>
      <w:r w:rsidRPr="00614C74">
        <w:rPr>
          <w:rFonts w:ascii="Verdana" w:hAnsi="Verdana"/>
          <w:lang w:val="pt-BR"/>
        </w:rPr>
        <w:t xml:space="preserve">În România perioada 15 octombrie 2011-15 martie 2012 </w:t>
      </w:r>
      <w:r w:rsidR="00614C74" w:rsidRPr="00614C74">
        <w:rPr>
          <w:rFonts w:ascii="Verdana" w:hAnsi="Verdana"/>
          <w:lang w:val="pt-BR"/>
        </w:rPr>
        <w:t>a</w:t>
      </w:r>
      <w:r w:rsidR="005331D2" w:rsidRPr="00614C74">
        <w:rPr>
          <w:rFonts w:ascii="Verdana" w:hAnsi="Verdana"/>
          <w:lang w:val="pt-BR"/>
        </w:rPr>
        <w:t xml:space="preserve"> fost repetat</w:t>
      </w:r>
      <w:r w:rsidRPr="00614C74">
        <w:rPr>
          <w:rFonts w:ascii="Verdana" w:hAnsi="Verdana"/>
          <w:lang w:val="pt-BR"/>
        </w:rPr>
        <w:t xml:space="preserve"> studiul SEPHAR</w:t>
      </w:r>
    </w:p>
    <w:p w:rsidR="00614C74" w:rsidRDefault="00614C74" w:rsidP="00614C74">
      <w:pPr>
        <w:autoSpaceDE w:val="0"/>
        <w:autoSpaceDN w:val="0"/>
        <w:adjustRightInd w:val="0"/>
        <w:spacing w:line="360" w:lineRule="auto"/>
        <w:jc w:val="both"/>
        <w:rPr>
          <w:rFonts w:ascii="Verdana" w:hAnsi="Verdana"/>
          <w:lang w:val="pt-BR"/>
        </w:rPr>
      </w:pPr>
    </w:p>
    <w:p w:rsidR="00614C74" w:rsidRPr="00614C74" w:rsidRDefault="00614C74" w:rsidP="003E7A4E">
      <w:pPr>
        <w:numPr>
          <w:ilvl w:val="0"/>
          <w:numId w:val="19"/>
        </w:numPr>
        <w:autoSpaceDE w:val="0"/>
        <w:autoSpaceDN w:val="0"/>
        <w:adjustRightInd w:val="0"/>
        <w:spacing w:line="360" w:lineRule="auto"/>
        <w:jc w:val="both"/>
        <w:rPr>
          <w:rFonts w:ascii="Verdana" w:hAnsi="Verdana"/>
          <w:lang w:val="it-IT"/>
        </w:rPr>
      </w:pPr>
      <w:r w:rsidRPr="00614C74">
        <w:rPr>
          <w:rFonts w:ascii="Verdana" w:hAnsi="Verdana"/>
          <w:lang w:val="it-IT"/>
        </w:rPr>
        <w:t>Rezultatele studiului SEPHAR II au arătat o prevalenţă mai r</w:t>
      </w:r>
      <w:r>
        <w:rPr>
          <w:rFonts w:ascii="Verdana" w:hAnsi="Verdana"/>
          <w:lang w:val="it-IT"/>
        </w:rPr>
        <w:t>idicată a HTA la sexul feminin (</w:t>
      </w:r>
      <w:r w:rsidRPr="00614C74">
        <w:rPr>
          <w:rFonts w:ascii="Verdana" w:hAnsi="Verdana"/>
          <w:lang w:val="it-IT"/>
        </w:rPr>
        <w:t>54.9%</w:t>
      </w:r>
      <w:r>
        <w:rPr>
          <w:rFonts w:ascii="Verdana" w:hAnsi="Verdana"/>
          <w:lang w:val="it-IT"/>
        </w:rPr>
        <w:t>)</w:t>
      </w:r>
      <w:r w:rsidR="00783CAB">
        <w:rPr>
          <w:rFonts w:ascii="Verdana" w:hAnsi="Verdana"/>
          <w:lang w:val="it-IT"/>
        </w:rPr>
        <w:t xml:space="preserve">. Majoritatea pacienţilor (59,1%) au fost trataţi, în cea mai mare parte cu 2 sau mai multe medicamente (72,3%). Dintre pacienţii trataţi, doar o pătrime au avut valori controlate ale PA. Rata controlului terapeutic a crescut cu nivelul de educaţie. </w:t>
      </w:r>
    </w:p>
    <w:p w:rsidR="003F136C" w:rsidRPr="00614C74" w:rsidRDefault="003F136C" w:rsidP="000B4DAA">
      <w:pPr>
        <w:autoSpaceDE w:val="0"/>
        <w:autoSpaceDN w:val="0"/>
        <w:adjustRightInd w:val="0"/>
        <w:spacing w:line="360" w:lineRule="auto"/>
        <w:jc w:val="both"/>
        <w:rPr>
          <w:rFonts w:ascii="Verdana" w:hAnsi="Verdana"/>
          <w:lang w:val="it-IT"/>
        </w:rPr>
      </w:pPr>
    </w:p>
    <w:p w:rsidR="003E7A4E" w:rsidRPr="005B004B" w:rsidRDefault="003E7A4E" w:rsidP="006E6D87">
      <w:pPr>
        <w:numPr>
          <w:ilvl w:val="0"/>
          <w:numId w:val="46"/>
        </w:numPr>
        <w:tabs>
          <w:tab w:val="num" w:pos="1080"/>
        </w:tabs>
        <w:spacing w:line="360" w:lineRule="auto"/>
        <w:jc w:val="both"/>
        <w:rPr>
          <w:rFonts w:ascii="Verdana" w:hAnsi="Verdana"/>
          <w:b/>
          <w:lang w:val="ro-RO"/>
        </w:rPr>
      </w:pPr>
      <w:r w:rsidRPr="005B004B">
        <w:rPr>
          <w:rFonts w:ascii="Verdana" w:hAnsi="Verdana"/>
          <w:b/>
          <w:lang w:val="ro-RO"/>
        </w:rPr>
        <w:t>Ghiduri, recomandări</w:t>
      </w:r>
    </w:p>
    <w:p w:rsidR="003E7A4E" w:rsidRPr="005B004B" w:rsidRDefault="003E7A4E" w:rsidP="003E7A4E">
      <w:pPr>
        <w:spacing w:line="360" w:lineRule="auto"/>
        <w:ind w:left="360"/>
        <w:jc w:val="both"/>
        <w:rPr>
          <w:rFonts w:ascii="Verdana" w:hAnsi="Verdana"/>
          <w:b/>
          <w:lang w:val="ro-RO"/>
        </w:rPr>
      </w:pPr>
    </w:p>
    <w:p w:rsidR="003E7A4E" w:rsidRPr="004A49F6" w:rsidRDefault="003E7A4E" w:rsidP="004A49F6">
      <w:pPr>
        <w:numPr>
          <w:ilvl w:val="0"/>
          <w:numId w:val="25"/>
        </w:numPr>
        <w:spacing w:line="360" w:lineRule="auto"/>
        <w:jc w:val="both"/>
        <w:rPr>
          <w:rFonts w:ascii="Verdana" w:hAnsi="Verdana"/>
          <w:b/>
          <w:i/>
          <w:lang w:val="ro-RO"/>
        </w:rPr>
      </w:pPr>
      <w:r w:rsidRPr="004A49F6">
        <w:rPr>
          <w:rFonts w:ascii="Verdana" w:hAnsi="Verdana"/>
          <w:b/>
          <w:i/>
          <w:lang w:val="ro-RO"/>
        </w:rPr>
        <w:t>Internaţionale</w:t>
      </w:r>
    </w:p>
    <w:p w:rsidR="007D5453" w:rsidRPr="005B004B" w:rsidRDefault="007D5453" w:rsidP="004A49F6">
      <w:pPr>
        <w:numPr>
          <w:ilvl w:val="0"/>
          <w:numId w:val="27"/>
        </w:numPr>
        <w:spacing w:line="360" w:lineRule="auto"/>
        <w:ind w:left="357" w:hanging="357"/>
        <w:jc w:val="both"/>
        <w:rPr>
          <w:rFonts w:ascii="Verdana" w:hAnsi="Verdana"/>
        </w:rPr>
      </w:pPr>
      <w:r w:rsidRPr="00783CAB">
        <w:rPr>
          <w:rFonts w:ascii="Verdana" w:hAnsi="Verdana" w:cs="OptimaLTStd-Bold"/>
          <w:bCs/>
          <w:lang w:val="it-IT"/>
        </w:rPr>
        <w:t>Blood Pre</w:t>
      </w:r>
      <w:proofErr w:type="spellStart"/>
      <w:r w:rsidRPr="005B004B">
        <w:rPr>
          <w:rFonts w:ascii="Verdana" w:hAnsi="Verdana" w:cs="OptimaLTStd-Bold"/>
          <w:bCs/>
        </w:rPr>
        <w:t>ssure</w:t>
      </w:r>
      <w:proofErr w:type="spellEnd"/>
      <w:r w:rsidRPr="005B004B">
        <w:rPr>
          <w:rFonts w:ascii="Verdana" w:hAnsi="Verdana" w:cs="OptimaLTStd-Bold"/>
          <w:bCs/>
        </w:rPr>
        <w:t xml:space="preserve"> Measurement Guidelines</w:t>
      </w:r>
      <w:r w:rsidR="005B004B" w:rsidRPr="005B004B">
        <w:rPr>
          <w:rFonts w:ascii="Verdana" w:hAnsi="Verdana" w:cs="OptimaLTStd-Bold"/>
          <w:bCs/>
        </w:rPr>
        <w:t xml:space="preserve"> </w:t>
      </w:r>
      <w:r w:rsidRPr="005B004B">
        <w:rPr>
          <w:rFonts w:ascii="Verdana" w:hAnsi="Verdana" w:cs="OptimaLTStd-Bold"/>
          <w:bCs/>
        </w:rPr>
        <w:t>for Physical Therapists (</w:t>
      </w:r>
      <w:r w:rsidR="00ED7472" w:rsidRPr="004050AE">
        <w:rPr>
          <w:rStyle w:val="FootnoteReference"/>
          <w:rFonts w:ascii="Verdana" w:hAnsi="Verdana" w:cs="OptimaLTStd-Bold"/>
          <w:bCs/>
          <w:vertAlign w:val="baseline"/>
        </w:rPr>
        <w:footnoteReference w:id="27"/>
      </w:r>
      <w:r w:rsidRPr="005B004B">
        <w:rPr>
          <w:rStyle w:val="citation-flpages"/>
          <w:rFonts w:ascii="Verdana" w:hAnsi="Verdana"/>
        </w:rPr>
        <w:t xml:space="preserve">) </w:t>
      </w:r>
    </w:p>
    <w:p w:rsidR="007D5453" w:rsidRPr="005B004B" w:rsidRDefault="007D5453" w:rsidP="004A49F6">
      <w:pPr>
        <w:pStyle w:val="Heading1"/>
        <w:numPr>
          <w:ilvl w:val="0"/>
          <w:numId w:val="27"/>
        </w:numPr>
        <w:spacing w:before="0" w:beforeAutospacing="0" w:after="0" w:line="360" w:lineRule="auto"/>
        <w:ind w:left="357" w:hanging="357"/>
        <w:jc w:val="both"/>
        <w:rPr>
          <w:rFonts w:ascii="Verdana" w:hAnsi="Verdana" w:cs="Arial"/>
          <w:b w:val="0"/>
          <w:sz w:val="24"/>
          <w:szCs w:val="24"/>
        </w:rPr>
      </w:pPr>
      <w:r w:rsidRPr="005B004B">
        <w:rPr>
          <w:rFonts w:ascii="Verdana" w:hAnsi="Verdana" w:cs="Arial"/>
          <w:b w:val="0"/>
          <w:sz w:val="24"/>
          <w:szCs w:val="24"/>
        </w:rPr>
        <w:t>Blood Pressure Monitoring - New Guidelines Issued by NICE</w:t>
      </w:r>
      <w:r w:rsidR="005B004B" w:rsidRPr="005B004B">
        <w:rPr>
          <w:rFonts w:ascii="Verdana" w:hAnsi="Verdana" w:cs="Arial"/>
          <w:b w:val="0"/>
          <w:sz w:val="24"/>
          <w:szCs w:val="24"/>
        </w:rPr>
        <w:t xml:space="preserve"> (</w:t>
      </w:r>
      <w:r w:rsidR="003F136C" w:rsidRPr="0070401C">
        <w:rPr>
          <w:rStyle w:val="FootnoteReference"/>
          <w:rFonts w:ascii="Verdana" w:hAnsi="Verdana" w:cs="Arial"/>
          <w:b w:val="0"/>
          <w:sz w:val="24"/>
          <w:szCs w:val="24"/>
          <w:vertAlign w:val="baseline"/>
        </w:rPr>
        <w:footnoteReference w:id="28"/>
      </w:r>
      <w:r w:rsidRPr="005B004B">
        <w:rPr>
          <w:rFonts w:ascii="Verdana" w:hAnsi="Verdana" w:cs="Arial"/>
          <w:b w:val="0"/>
          <w:sz w:val="24"/>
          <w:szCs w:val="24"/>
        </w:rPr>
        <w:t>)</w:t>
      </w:r>
    </w:p>
    <w:p w:rsidR="005B004B" w:rsidRPr="005B004B" w:rsidRDefault="005B004B" w:rsidP="004A49F6">
      <w:pPr>
        <w:numPr>
          <w:ilvl w:val="0"/>
          <w:numId w:val="27"/>
        </w:numPr>
        <w:spacing w:line="360" w:lineRule="auto"/>
        <w:ind w:left="357" w:hanging="357"/>
        <w:jc w:val="both"/>
        <w:rPr>
          <w:rFonts w:ascii="Verdana" w:hAnsi="Verdana"/>
          <w:color w:val="53534D"/>
        </w:rPr>
      </w:pPr>
      <w:r w:rsidRPr="005B004B">
        <w:rPr>
          <w:rFonts w:ascii="Verdana" w:hAnsi="Verdana"/>
          <w:bCs/>
        </w:rPr>
        <w:lastRenderedPageBreak/>
        <w:t>International Society of Hypertension poc</w:t>
      </w:r>
      <w:r w:rsidR="003F136C">
        <w:rPr>
          <w:rFonts w:ascii="Verdana" w:hAnsi="Verdana"/>
          <w:bCs/>
        </w:rPr>
        <w:t>ket guidelines 2007(</w:t>
      </w:r>
      <w:r w:rsidR="003F136C" w:rsidRPr="004050AE">
        <w:rPr>
          <w:rStyle w:val="FootnoteReference"/>
          <w:rFonts w:ascii="Verdana" w:hAnsi="Verdana"/>
          <w:bCs/>
          <w:vertAlign w:val="baseline"/>
        </w:rPr>
        <w:footnoteReference w:id="29"/>
      </w:r>
      <w:r w:rsidR="003F136C">
        <w:rPr>
          <w:rFonts w:ascii="Verdana" w:hAnsi="Verdana"/>
          <w:bCs/>
        </w:rPr>
        <w:t>)</w:t>
      </w:r>
    </w:p>
    <w:p w:rsidR="003F136C" w:rsidRPr="003F136C" w:rsidRDefault="004A49F6" w:rsidP="004A49F6">
      <w:pPr>
        <w:numPr>
          <w:ilvl w:val="0"/>
          <w:numId w:val="27"/>
        </w:numPr>
        <w:autoSpaceDE w:val="0"/>
        <w:autoSpaceDN w:val="0"/>
        <w:adjustRightInd w:val="0"/>
        <w:spacing w:line="360" w:lineRule="auto"/>
        <w:ind w:left="357" w:hanging="357"/>
        <w:jc w:val="both"/>
        <w:rPr>
          <w:rFonts w:ascii="Verdana" w:hAnsi="Verdana"/>
          <w:color w:val="53534D"/>
        </w:rPr>
      </w:pPr>
      <w:r w:rsidRPr="004A49F6">
        <w:rPr>
          <w:rFonts w:ascii="Verdana" w:hAnsi="Verdana" w:cs="AdvP418142"/>
        </w:rPr>
        <w:t>Management of high blood pressure in children and</w:t>
      </w:r>
      <w:r>
        <w:rPr>
          <w:rFonts w:ascii="Verdana" w:hAnsi="Verdana" w:cs="AdvP418142"/>
        </w:rPr>
        <w:t xml:space="preserve"> </w:t>
      </w:r>
      <w:r w:rsidRPr="004A49F6">
        <w:rPr>
          <w:rFonts w:ascii="Verdana" w:hAnsi="Verdana" w:cs="AdvP418142"/>
        </w:rPr>
        <w:t>adolescents: recommendations of the European Society</w:t>
      </w:r>
      <w:r>
        <w:rPr>
          <w:rFonts w:ascii="Verdana" w:hAnsi="Verdana" w:cs="AdvP418142"/>
        </w:rPr>
        <w:t xml:space="preserve"> </w:t>
      </w:r>
      <w:r w:rsidRPr="004A49F6">
        <w:rPr>
          <w:rFonts w:ascii="Verdana" w:hAnsi="Verdana" w:cs="AdvP418142"/>
        </w:rPr>
        <w:t>of Hypertension</w:t>
      </w:r>
      <w:r w:rsidR="003F136C">
        <w:rPr>
          <w:rFonts w:ascii="Verdana" w:hAnsi="Verdana" w:cs="AdvP418142"/>
        </w:rPr>
        <w:t xml:space="preserve"> (</w:t>
      </w:r>
      <w:r w:rsidR="003F136C" w:rsidRPr="004050AE">
        <w:rPr>
          <w:rStyle w:val="FootnoteReference"/>
          <w:rFonts w:ascii="Verdana" w:hAnsi="Verdana" w:cs="AdvP418142"/>
          <w:vertAlign w:val="baseline"/>
        </w:rPr>
        <w:footnoteReference w:id="30"/>
      </w:r>
      <w:r w:rsidR="003F136C">
        <w:rPr>
          <w:rFonts w:ascii="Verdana" w:hAnsi="Verdana" w:cs="AdvP418142"/>
        </w:rPr>
        <w:t>)</w:t>
      </w:r>
    </w:p>
    <w:p w:rsidR="008F3AEC" w:rsidRPr="0070401C" w:rsidRDefault="004A49F6" w:rsidP="00B400EA">
      <w:pPr>
        <w:numPr>
          <w:ilvl w:val="0"/>
          <w:numId w:val="27"/>
        </w:numPr>
        <w:autoSpaceDE w:val="0"/>
        <w:autoSpaceDN w:val="0"/>
        <w:adjustRightInd w:val="0"/>
        <w:spacing w:line="360" w:lineRule="auto"/>
        <w:ind w:left="357" w:hanging="357"/>
        <w:jc w:val="both"/>
        <w:rPr>
          <w:rFonts w:ascii="Verdana" w:hAnsi="Verdana"/>
          <w:lang w:val="ro-RO"/>
        </w:rPr>
      </w:pPr>
      <w:r w:rsidRPr="004A49F6">
        <w:rPr>
          <w:rFonts w:ascii="Verdana" w:hAnsi="Verdana" w:cs="AdvP418142"/>
        </w:rPr>
        <w:t>European Society of Hypertension guidelines for blood</w:t>
      </w:r>
      <w:r>
        <w:rPr>
          <w:rFonts w:ascii="Verdana" w:hAnsi="Verdana" w:cs="AdvP418142"/>
        </w:rPr>
        <w:t xml:space="preserve"> </w:t>
      </w:r>
      <w:r w:rsidRPr="004A49F6">
        <w:rPr>
          <w:rFonts w:ascii="Verdana" w:hAnsi="Verdana" w:cs="AdvP418142"/>
        </w:rPr>
        <w:t>pressure monitoring at home: a summary report of the</w:t>
      </w:r>
      <w:r>
        <w:rPr>
          <w:rFonts w:ascii="Verdana" w:hAnsi="Verdana" w:cs="AdvP418142"/>
        </w:rPr>
        <w:t xml:space="preserve"> </w:t>
      </w:r>
      <w:r w:rsidRPr="004A49F6">
        <w:rPr>
          <w:rFonts w:ascii="Verdana" w:hAnsi="Verdana" w:cs="AdvP418142"/>
        </w:rPr>
        <w:t>Second International Consensus Conference on Home</w:t>
      </w:r>
      <w:r>
        <w:rPr>
          <w:rFonts w:ascii="Verdana" w:hAnsi="Verdana" w:cs="AdvP418142"/>
        </w:rPr>
        <w:t xml:space="preserve"> </w:t>
      </w:r>
      <w:r w:rsidRPr="004A49F6">
        <w:rPr>
          <w:rFonts w:ascii="Verdana" w:hAnsi="Verdana" w:cs="AdvP418142"/>
        </w:rPr>
        <w:t>Blood Pressure Monitoring</w:t>
      </w:r>
      <w:r w:rsidR="00B400EA">
        <w:rPr>
          <w:rFonts w:ascii="Verdana" w:hAnsi="Verdana" w:cs="AdvP418142"/>
        </w:rPr>
        <w:t xml:space="preserve"> (</w:t>
      </w:r>
      <w:r w:rsidR="00B400EA" w:rsidRPr="004050AE">
        <w:rPr>
          <w:rStyle w:val="FootnoteReference"/>
          <w:rFonts w:ascii="Verdana" w:hAnsi="Verdana" w:cs="AdvP418142"/>
          <w:vertAlign w:val="baseline"/>
        </w:rPr>
        <w:footnoteReference w:id="31"/>
      </w:r>
      <w:r w:rsidR="00B400EA">
        <w:rPr>
          <w:rFonts w:ascii="Verdana" w:hAnsi="Verdana" w:cs="AdvP418142"/>
        </w:rPr>
        <w:t>)</w:t>
      </w:r>
    </w:p>
    <w:p w:rsidR="0070401C" w:rsidRPr="005F402D" w:rsidRDefault="0070401C" w:rsidP="0070401C">
      <w:pPr>
        <w:numPr>
          <w:ilvl w:val="0"/>
          <w:numId w:val="27"/>
        </w:numPr>
        <w:autoSpaceDE w:val="0"/>
        <w:autoSpaceDN w:val="0"/>
        <w:adjustRightInd w:val="0"/>
        <w:spacing w:line="360" w:lineRule="auto"/>
        <w:ind w:left="357" w:hanging="357"/>
        <w:jc w:val="both"/>
        <w:rPr>
          <w:rFonts w:ascii="Verdana" w:hAnsi="Verdana"/>
          <w:lang w:val="ro-RO"/>
        </w:rPr>
      </w:pPr>
      <w:r w:rsidRPr="0070401C">
        <w:rPr>
          <w:rFonts w:ascii="Verdana" w:hAnsi="Verdana"/>
          <w:lang w:val="ro-RO"/>
        </w:rPr>
        <w:t>Reappraisal of European guidelines on hypertension</w:t>
      </w:r>
      <w:r>
        <w:rPr>
          <w:rFonts w:ascii="Verdana" w:hAnsi="Verdana"/>
          <w:lang w:val="ro-RO"/>
        </w:rPr>
        <w:t xml:space="preserve"> </w:t>
      </w:r>
      <w:r w:rsidRPr="0070401C">
        <w:rPr>
          <w:rFonts w:ascii="Verdana" w:hAnsi="Verdana"/>
          <w:lang w:val="ro-RO"/>
        </w:rPr>
        <w:t>management: a European Society of Hypertension Task</w:t>
      </w:r>
      <w:r>
        <w:rPr>
          <w:rFonts w:ascii="Verdana" w:hAnsi="Verdana"/>
          <w:lang w:val="ro-RO"/>
        </w:rPr>
        <w:t xml:space="preserve"> </w:t>
      </w:r>
      <w:r w:rsidRPr="0070401C">
        <w:rPr>
          <w:rFonts w:ascii="Verdana" w:hAnsi="Verdana"/>
          <w:lang w:val="ro-RO"/>
        </w:rPr>
        <w:t>Force document</w:t>
      </w:r>
      <w:r>
        <w:rPr>
          <w:rFonts w:ascii="Verdana" w:hAnsi="Verdana"/>
          <w:lang w:val="ro-RO"/>
        </w:rPr>
        <w:t xml:space="preserve"> (</w:t>
      </w:r>
      <w:r w:rsidRPr="00F050FD">
        <w:rPr>
          <w:rStyle w:val="FootnoteReference"/>
          <w:rFonts w:ascii="Verdana" w:hAnsi="Verdana"/>
          <w:vertAlign w:val="baseline"/>
          <w:lang w:val="ro-RO"/>
        </w:rPr>
        <w:footnoteReference w:id="32"/>
      </w:r>
      <w:r w:rsidR="00F050FD">
        <w:rPr>
          <w:rFonts w:ascii="Verdana" w:hAnsi="Verdana"/>
          <w:lang w:val="ro-RO"/>
        </w:rPr>
        <w:t>)</w:t>
      </w:r>
    </w:p>
    <w:p w:rsidR="00CB09E0" w:rsidRPr="00666E19" w:rsidRDefault="005F402D" w:rsidP="00CB09E0">
      <w:pPr>
        <w:numPr>
          <w:ilvl w:val="0"/>
          <w:numId w:val="27"/>
        </w:numPr>
        <w:autoSpaceDE w:val="0"/>
        <w:autoSpaceDN w:val="0"/>
        <w:adjustRightInd w:val="0"/>
        <w:spacing w:line="360" w:lineRule="auto"/>
        <w:ind w:left="357" w:hanging="357"/>
        <w:jc w:val="both"/>
        <w:rPr>
          <w:rFonts w:ascii="Verdana" w:hAnsi="Verdana"/>
          <w:lang w:val="ro-RO"/>
        </w:rPr>
      </w:pPr>
      <w:r w:rsidRPr="00666E19">
        <w:rPr>
          <w:rFonts w:ascii="Verdana" w:hAnsi="Verdana"/>
          <w:lang w:val="ro-RO"/>
        </w:rPr>
        <w:t>ESH/ESC Guidelines for the management of arterial hypertension. The</w:t>
      </w:r>
      <w:r w:rsidR="00FA0989" w:rsidRPr="00666E19">
        <w:rPr>
          <w:rFonts w:ascii="Verdana" w:hAnsi="Verdana"/>
          <w:lang w:val="ro-RO"/>
        </w:rPr>
        <w:t xml:space="preserve"> </w:t>
      </w:r>
      <w:r w:rsidRPr="00666E19">
        <w:rPr>
          <w:rFonts w:ascii="Verdana" w:hAnsi="Verdana"/>
          <w:lang w:val="ro-RO"/>
        </w:rPr>
        <w:t>Task Force for the management of</w:t>
      </w:r>
      <w:r w:rsidR="00666E19">
        <w:rPr>
          <w:rFonts w:ascii="Verdana" w:hAnsi="Verdana"/>
          <w:lang w:val="ro-RO"/>
        </w:rPr>
        <w:t xml:space="preserve"> </w:t>
      </w:r>
      <w:r w:rsidRPr="00666E19">
        <w:rPr>
          <w:rFonts w:ascii="Verdana" w:hAnsi="Verdana"/>
          <w:lang w:val="ro-RO"/>
        </w:rPr>
        <w:t>arterial hypertension of the European Society of Hypertension (ESH) and of the European Society of Cardiology (ESC)</w:t>
      </w:r>
      <w:r w:rsidR="00666E19">
        <w:rPr>
          <w:rFonts w:ascii="Verdana" w:hAnsi="Verdana"/>
          <w:lang w:val="ro-RO"/>
        </w:rPr>
        <w:t xml:space="preserve"> (</w:t>
      </w:r>
      <w:r w:rsidRPr="004050AE">
        <w:rPr>
          <w:rStyle w:val="FootnoteReference"/>
          <w:rFonts w:ascii="Verdana" w:hAnsi="Verdana"/>
          <w:vertAlign w:val="baseline"/>
          <w:lang w:val="ro-RO"/>
        </w:rPr>
        <w:footnoteReference w:id="33"/>
      </w:r>
      <w:r w:rsidR="00666E19">
        <w:rPr>
          <w:rFonts w:ascii="Verdana" w:hAnsi="Verdana"/>
          <w:lang w:val="ro-RO"/>
        </w:rPr>
        <w:t>)</w:t>
      </w:r>
    </w:p>
    <w:p w:rsidR="00CB09E0" w:rsidRDefault="00CB09E0" w:rsidP="00CB09E0">
      <w:pPr>
        <w:numPr>
          <w:ilvl w:val="0"/>
          <w:numId w:val="27"/>
        </w:numPr>
        <w:autoSpaceDE w:val="0"/>
        <w:autoSpaceDN w:val="0"/>
        <w:adjustRightInd w:val="0"/>
        <w:spacing w:line="360" w:lineRule="auto"/>
        <w:ind w:left="357" w:hanging="357"/>
        <w:jc w:val="both"/>
        <w:rPr>
          <w:rFonts w:ascii="Verdana" w:hAnsi="Verdana"/>
          <w:lang w:val="ro-RO"/>
        </w:rPr>
      </w:pPr>
      <w:r w:rsidRPr="00CB09E0">
        <w:rPr>
          <w:rFonts w:ascii="Verdana" w:hAnsi="Verdana"/>
          <w:lang w:val="ro-RO"/>
        </w:rPr>
        <w:t>Hypertension: Emergencies and Urgencies</w:t>
      </w:r>
      <w:r>
        <w:rPr>
          <w:rFonts w:ascii="Verdana" w:hAnsi="Verdana"/>
          <w:lang w:val="ro-RO"/>
        </w:rPr>
        <w:t xml:space="preserve"> </w:t>
      </w:r>
      <w:r w:rsidR="00666E19">
        <w:rPr>
          <w:rFonts w:ascii="Verdana" w:hAnsi="Verdana"/>
          <w:lang w:val="ro-RO"/>
        </w:rPr>
        <w:t>(</w:t>
      </w:r>
      <w:r w:rsidRPr="004050AE">
        <w:rPr>
          <w:rStyle w:val="FootnoteReference"/>
          <w:rFonts w:ascii="Verdana" w:hAnsi="Verdana"/>
          <w:vertAlign w:val="baseline"/>
          <w:lang w:val="ro-RO"/>
        </w:rPr>
        <w:footnoteReference w:id="34"/>
      </w:r>
      <w:r w:rsidR="00666E19">
        <w:rPr>
          <w:rFonts w:ascii="Verdana" w:hAnsi="Verdana"/>
          <w:lang w:val="ro-RO"/>
        </w:rPr>
        <w:t>)</w:t>
      </w:r>
    </w:p>
    <w:p w:rsidR="00B400EA" w:rsidRPr="00CB09E0" w:rsidRDefault="00CB09E0" w:rsidP="00CB09E0">
      <w:pPr>
        <w:numPr>
          <w:ilvl w:val="0"/>
          <w:numId w:val="27"/>
        </w:numPr>
        <w:autoSpaceDE w:val="0"/>
        <w:autoSpaceDN w:val="0"/>
        <w:adjustRightInd w:val="0"/>
        <w:spacing w:line="360" w:lineRule="auto"/>
        <w:ind w:left="357" w:hanging="357"/>
        <w:jc w:val="both"/>
        <w:rPr>
          <w:rFonts w:ascii="Verdana" w:hAnsi="Verdana"/>
          <w:lang w:val="ro-RO"/>
        </w:rPr>
      </w:pPr>
      <w:r w:rsidRPr="00CB09E0">
        <w:rPr>
          <w:rFonts w:ascii="Verdana" w:hAnsi="Verdana"/>
          <w:lang w:val="ro-RO"/>
        </w:rPr>
        <w:t xml:space="preserve">Evaluation and Treatment of Severe Asymptomatic Hypertension </w:t>
      </w:r>
      <w:r w:rsidRPr="00CB09E0">
        <w:rPr>
          <w:rFonts w:ascii="Verdana" w:hAnsi="Verdana"/>
          <w:lang w:val="ro-RO"/>
        </w:rPr>
        <w:cr/>
      </w:r>
      <w:r w:rsidR="00666E19">
        <w:rPr>
          <w:rFonts w:ascii="Verdana" w:hAnsi="Verdana"/>
          <w:lang w:val="ro-RO"/>
        </w:rPr>
        <w:t>(</w:t>
      </w:r>
      <w:r w:rsidRPr="004050AE">
        <w:rPr>
          <w:rStyle w:val="FootnoteReference"/>
          <w:rFonts w:ascii="Verdana" w:hAnsi="Verdana"/>
          <w:vertAlign w:val="baseline"/>
          <w:lang w:val="ro-RO"/>
        </w:rPr>
        <w:footnoteReference w:id="35"/>
      </w:r>
      <w:r w:rsidR="00666E19" w:rsidRPr="004050AE">
        <w:rPr>
          <w:rFonts w:ascii="Verdana" w:hAnsi="Verdana"/>
          <w:lang w:val="ro-RO"/>
        </w:rPr>
        <w:t>)</w:t>
      </w:r>
    </w:p>
    <w:p w:rsidR="0078006D" w:rsidRDefault="0078006D" w:rsidP="005331D2">
      <w:pPr>
        <w:spacing w:line="360" w:lineRule="auto"/>
        <w:jc w:val="both"/>
        <w:rPr>
          <w:rFonts w:ascii="Verdana" w:hAnsi="Verdana"/>
          <w:b/>
          <w:i/>
          <w:lang w:val="ro-RO"/>
        </w:rPr>
      </w:pPr>
    </w:p>
    <w:p w:rsidR="003E7A4E" w:rsidRPr="005B004B" w:rsidRDefault="003E7A4E" w:rsidP="005331D2">
      <w:pPr>
        <w:spacing w:line="360" w:lineRule="auto"/>
        <w:jc w:val="both"/>
        <w:rPr>
          <w:rFonts w:ascii="Verdana" w:hAnsi="Verdana"/>
          <w:lang w:val="ro-RO"/>
        </w:rPr>
      </w:pPr>
      <w:r w:rsidRPr="004A49F6">
        <w:rPr>
          <w:rFonts w:ascii="Verdana" w:hAnsi="Verdana"/>
          <w:b/>
          <w:i/>
          <w:lang w:val="ro-RO"/>
        </w:rPr>
        <w:t>B. Naţionale</w:t>
      </w:r>
      <w:r w:rsidRPr="005B004B">
        <w:rPr>
          <w:rFonts w:ascii="Verdana" w:hAnsi="Verdana"/>
          <w:i/>
          <w:lang w:val="ro-RO"/>
        </w:rPr>
        <w:t xml:space="preserve"> </w:t>
      </w:r>
    </w:p>
    <w:p w:rsidR="00674921" w:rsidRPr="00674921" w:rsidRDefault="003E7A4E" w:rsidP="008F3AEC">
      <w:pPr>
        <w:numPr>
          <w:ilvl w:val="0"/>
          <w:numId w:val="43"/>
        </w:numPr>
        <w:spacing w:line="360" w:lineRule="auto"/>
        <w:jc w:val="both"/>
        <w:rPr>
          <w:rFonts w:ascii="Verdana" w:hAnsi="Verdana"/>
          <w:color w:val="336699"/>
          <w:lang w:val="ro-RO"/>
        </w:rPr>
      </w:pPr>
      <w:r w:rsidRPr="00674921">
        <w:rPr>
          <w:rFonts w:ascii="Verdana" w:hAnsi="Verdana"/>
          <w:lang w:val="ro-RO"/>
        </w:rPr>
        <w:t>Ghid de management al hipert</w:t>
      </w:r>
      <w:r w:rsidR="004A49F6" w:rsidRPr="00674921">
        <w:rPr>
          <w:rFonts w:ascii="Verdana" w:hAnsi="Verdana"/>
          <w:lang w:val="ro-RO"/>
        </w:rPr>
        <w:t>e</w:t>
      </w:r>
      <w:r w:rsidRPr="00674921">
        <w:rPr>
          <w:rFonts w:ascii="Verdana" w:hAnsi="Verdana"/>
          <w:lang w:val="ro-RO"/>
        </w:rPr>
        <w:t xml:space="preserve">nsiunii arteriale </w:t>
      </w:r>
      <w:r w:rsidR="009206EA" w:rsidRPr="00674921">
        <w:rPr>
          <w:color w:val="000000"/>
        </w:rPr>
        <w:t>(</w:t>
      </w:r>
      <w:proofErr w:type="spellStart"/>
      <w:r w:rsidR="009206EA" w:rsidRPr="00674921">
        <w:rPr>
          <w:rFonts w:ascii="Verdana" w:hAnsi="Verdana"/>
          <w:color w:val="000000"/>
        </w:rPr>
        <w:t>Ordinul</w:t>
      </w:r>
      <w:proofErr w:type="spellEnd"/>
      <w:r w:rsidR="009206EA" w:rsidRPr="00674921">
        <w:rPr>
          <w:rFonts w:ascii="Verdana" w:hAnsi="Verdana"/>
          <w:color w:val="000000"/>
        </w:rPr>
        <w:t xml:space="preserve"> 1059 din 2 </w:t>
      </w:r>
      <w:proofErr w:type="spellStart"/>
      <w:r w:rsidR="009206EA" w:rsidRPr="00674921">
        <w:rPr>
          <w:rFonts w:ascii="Verdana" w:hAnsi="Verdana"/>
          <w:color w:val="000000"/>
        </w:rPr>
        <w:t>septembrie</w:t>
      </w:r>
      <w:proofErr w:type="spellEnd"/>
      <w:r w:rsidR="009206EA" w:rsidRPr="00674921">
        <w:rPr>
          <w:rFonts w:ascii="Verdana" w:hAnsi="Verdana"/>
          <w:color w:val="000000"/>
        </w:rPr>
        <w:t xml:space="preserve"> 2009)</w:t>
      </w:r>
      <w:r w:rsidR="009206EA" w:rsidRPr="00674921">
        <w:rPr>
          <w:rFonts w:ascii="Verdana" w:hAnsi="Verdana"/>
          <w:lang w:val="ro-RO"/>
        </w:rPr>
        <w:t xml:space="preserve"> </w:t>
      </w:r>
      <w:r w:rsidR="004B6025" w:rsidRPr="00674921">
        <w:rPr>
          <w:rFonts w:ascii="Verdana" w:hAnsi="Verdana"/>
          <w:lang w:val="ro-RO"/>
        </w:rPr>
        <w:t>(</w:t>
      </w:r>
      <w:r w:rsidR="002D5294" w:rsidRPr="004050AE">
        <w:rPr>
          <w:rStyle w:val="FootnoteReference"/>
          <w:rFonts w:ascii="Verdana" w:hAnsi="Verdana"/>
          <w:vertAlign w:val="baseline"/>
          <w:lang w:val="ro-RO"/>
        </w:rPr>
        <w:footnoteReference w:id="36"/>
      </w:r>
      <w:r w:rsidR="004B6025" w:rsidRPr="00674921">
        <w:rPr>
          <w:rFonts w:ascii="Verdana" w:hAnsi="Verdana"/>
          <w:lang w:val="ro-RO"/>
        </w:rPr>
        <w:t>)</w:t>
      </w:r>
    </w:p>
    <w:p w:rsidR="002E6264" w:rsidRPr="00674921" w:rsidRDefault="003E7A4E" w:rsidP="008F3AEC">
      <w:pPr>
        <w:numPr>
          <w:ilvl w:val="0"/>
          <w:numId w:val="43"/>
        </w:numPr>
        <w:spacing w:line="360" w:lineRule="auto"/>
        <w:jc w:val="both"/>
        <w:rPr>
          <w:rFonts w:ascii="Verdana" w:hAnsi="Verdana"/>
          <w:color w:val="336699"/>
          <w:lang w:val="ro-RO"/>
        </w:rPr>
      </w:pPr>
      <w:r w:rsidRPr="00674921">
        <w:rPr>
          <w:rFonts w:ascii="Verdana" w:hAnsi="Verdana"/>
          <w:lang w:val="ro-RO"/>
        </w:rPr>
        <w:lastRenderedPageBreak/>
        <w:t xml:space="preserve">Prevenţia, Diagnosticul şi tratamentul hipertensiunii arteriale esenţiale la adult. Ghid de practică pentru medicul de familie  </w:t>
      </w:r>
      <w:r w:rsidR="009206EA" w:rsidRPr="00674921">
        <w:rPr>
          <w:color w:val="000000"/>
        </w:rPr>
        <w:t>(</w:t>
      </w:r>
      <w:proofErr w:type="spellStart"/>
      <w:r w:rsidR="009206EA" w:rsidRPr="00674921">
        <w:rPr>
          <w:rFonts w:ascii="Verdana" w:hAnsi="Verdana"/>
          <w:color w:val="000000"/>
        </w:rPr>
        <w:t>Ordinul</w:t>
      </w:r>
      <w:proofErr w:type="spellEnd"/>
      <w:r w:rsidR="009206EA" w:rsidRPr="00674921">
        <w:rPr>
          <w:rFonts w:ascii="Verdana" w:hAnsi="Verdana"/>
          <w:color w:val="000000"/>
        </w:rPr>
        <w:t xml:space="preserve"> 1059 din 2 </w:t>
      </w:r>
      <w:proofErr w:type="spellStart"/>
      <w:r w:rsidR="009206EA" w:rsidRPr="00674921">
        <w:rPr>
          <w:rFonts w:ascii="Verdana" w:hAnsi="Verdana"/>
          <w:color w:val="000000"/>
        </w:rPr>
        <w:t>septembrie</w:t>
      </w:r>
      <w:proofErr w:type="spellEnd"/>
      <w:r w:rsidR="009206EA" w:rsidRPr="00674921">
        <w:rPr>
          <w:rFonts w:ascii="Verdana" w:hAnsi="Verdana"/>
          <w:color w:val="000000"/>
        </w:rPr>
        <w:t xml:space="preserve"> 2009)</w:t>
      </w:r>
      <w:r w:rsidR="009206EA" w:rsidRPr="00674921">
        <w:rPr>
          <w:rFonts w:ascii="Verdana" w:hAnsi="Verdana"/>
          <w:lang w:val="ro-RO"/>
        </w:rPr>
        <w:t xml:space="preserve"> </w:t>
      </w:r>
      <w:r w:rsidR="002E6264" w:rsidRPr="00674921">
        <w:rPr>
          <w:rFonts w:ascii="Verdana" w:hAnsi="Verdana"/>
          <w:lang w:val="ro-RO"/>
        </w:rPr>
        <w:t>(</w:t>
      </w:r>
      <w:r w:rsidR="002E6264" w:rsidRPr="004050AE">
        <w:rPr>
          <w:rStyle w:val="FootnoteReference"/>
          <w:rFonts w:ascii="Verdana" w:hAnsi="Verdana"/>
          <w:vertAlign w:val="baseline"/>
          <w:lang w:val="ro-RO"/>
        </w:rPr>
        <w:footnoteReference w:id="37"/>
      </w:r>
      <w:r w:rsidR="002E6264" w:rsidRPr="00674921">
        <w:rPr>
          <w:rFonts w:ascii="Verdana" w:hAnsi="Verdana"/>
          <w:lang w:val="ro-RO"/>
        </w:rPr>
        <w:t>)</w:t>
      </w:r>
    </w:p>
    <w:p w:rsidR="008F3AEC" w:rsidRPr="009206EA" w:rsidRDefault="003E7A4E" w:rsidP="008F3AEC">
      <w:pPr>
        <w:numPr>
          <w:ilvl w:val="0"/>
          <w:numId w:val="43"/>
        </w:numPr>
        <w:spacing w:line="360" w:lineRule="auto"/>
        <w:jc w:val="both"/>
        <w:rPr>
          <w:rFonts w:ascii="Verdana" w:hAnsi="Verdana"/>
          <w:color w:val="336699"/>
          <w:lang w:val="ro-RO"/>
        </w:rPr>
      </w:pPr>
      <w:r w:rsidRPr="005B004B">
        <w:rPr>
          <w:rFonts w:ascii="Verdana" w:hAnsi="Verdana"/>
          <w:lang w:val="ro-RO"/>
        </w:rPr>
        <w:t xml:space="preserve"> Ghidul pacientului cu hipertensiune arterială esenţială </w:t>
      </w:r>
      <w:r w:rsidR="009206EA" w:rsidRPr="009206EA">
        <w:rPr>
          <w:color w:val="000000"/>
          <w:lang w:val="ro-RO"/>
        </w:rPr>
        <w:t>(</w:t>
      </w:r>
      <w:r w:rsidR="009206EA" w:rsidRPr="009206EA">
        <w:rPr>
          <w:rFonts w:ascii="Verdana" w:hAnsi="Verdana"/>
          <w:color w:val="000000"/>
          <w:lang w:val="ro-RO"/>
        </w:rPr>
        <w:t>Ordinul 1059 din 2 septembrie 2009)</w:t>
      </w:r>
      <w:r w:rsidR="009206EA">
        <w:rPr>
          <w:rFonts w:ascii="Verdana" w:hAnsi="Verdana"/>
          <w:lang w:val="ro-RO"/>
        </w:rPr>
        <w:t xml:space="preserve"> </w:t>
      </w:r>
      <w:r w:rsidR="002E6264">
        <w:rPr>
          <w:rFonts w:ascii="Verdana" w:hAnsi="Verdana"/>
          <w:lang w:val="ro-RO"/>
        </w:rPr>
        <w:t>(</w:t>
      </w:r>
      <w:r w:rsidR="002E6264" w:rsidRPr="004050AE">
        <w:rPr>
          <w:rStyle w:val="FootnoteReference"/>
          <w:rFonts w:ascii="Verdana" w:hAnsi="Verdana"/>
          <w:vertAlign w:val="baseline"/>
          <w:lang w:val="ro-RO"/>
        </w:rPr>
        <w:footnoteReference w:id="38"/>
      </w:r>
      <w:r w:rsidR="002E6264">
        <w:rPr>
          <w:rFonts w:ascii="Verdana" w:hAnsi="Verdana"/>
          <w:lang w:val="ro-RO"/>
        </w:rPr>
        <w:t>)</w:t>
      </w:r>
    </w:p>
    <w:p w:rsidR="009206EA" w:rsidRPr="009206EA" w:rsidRDefault="009206EA" w:rsidP="008F3AEC">
      <w:pPr>
        <w:numPr>
          <w:ilvl w:val="0"/>
          <w:numId w:val="43"/>
        </w:numPr>
        <w:spacing w:line="360" w:lineRule="auto"/>
        <w:jc w:val="both"/>
        <w:rPr>
          <w:rStyle w:val="apple-converted-space"/>
          <w:rFonts w:ascii="Verdana" w:hAnsi="Verdana"/>
          <w:color w:val="336699"/>
          <w:lang w:val="ro-RO"/>
        </w:rPr>
      </w:pPr>
      <w:proofErr w:type="spellStart"/>
      <w:r w:rsidRPr="009206EA">
        <w:rPr>
          <w:rFonts w:ascii="Verdana" w:hAnsi="Verdana"/>
          <w:color w:val="000000"/>
        </w:rPr>
        <w:t>Ghidul</w:t>
      </w:r>
      <w:proofErr w:type="spellEnd"/>
      <w:r w:rsidRPr="009206EA">
        <w:rPr>
          <w:rFonts w:ascii="Verdana" w:hAnsi="Verdana"/>
          <w:color w:val="000000"/>
        </w:rPr>
        <w:t xml:space="preserve"> </w:t>
      </w:r>
      <w:proofErr w:type="spellStart"/>
      <w:r w:rsidRPr="009206EA">
        <w:rPr>
          <w:rFonts w:ascii="Verdana" w:hAnsi="Verdana"/>
          <w:color w:val="000000"/>
        </w:rPr>
        <w:t>european</w:t>
      </w:r>
      <w:proofErr w:type="spellEnd"/>
      <w:r w:rsidRPr="009206EA">
        <w:rPr>
          <w:rFonts w:ascii="Verdana" w:hAnsi="Verdana"/>
          <w:color w:val="000000"/>
        </w:rPr>
        <w:t xml:space="preserve"> de </w:t>
      </w:r>
      <w:proofErr w:type="spellStart"/>
      <w:r w:rsidRPr="009206EA">
        <w:rPr>
          <w:rFonts w:ascii="Verdana" w:hAnsi="Verdana"/>
          <w:color w:val="000000"/>
        </w:rPr>
        <w:t>prevenţie</w:t>
      </w:r>
      <w:proofErr w:type="spellEnd"/>
      <w:r w:rsidRPr="009206EA">
        <w:rPr>
          <w:rFonts w:ascii="Verdana" w:hAnsi="Verdana"/>
          <w:color w:val="000000"/>
        </w:rPr>
        <w:t xml:space="preserve"> a </w:t>
      </w:r>
      <w:proofErr w:type="spellStart"/>
      <w:r w:rsidRPr="009206EA">
        <w:rPr>
          <w:rFonts w:ascii="Verdana" w:hAnsi="Verdana"/>
          <w:color w:val="000000"/>
        </w:rPr>
        <w:t>bolilor</w:t>
      </w:r>
      <w:proofErr w:type="spellEnd"/>
      <w:r w:rsidRPr="009206EA">
        <w:rPr>
          <w:rFonts w:ascii="Verdana" w:hAnsi="Verdana"/>
          <w:color w:val="000000"/>
        </w:rPr>
        <w:t xml:space="preserve"> </w:t>
      </w:r>
      <w:proofErr w:type="spellStart"/>
      <w:r w:rsidRPr="009206EA">
        <w:rPr>
          <w:rFonts w:ascii="Verdana" w:hAnsi="Verdana"/>
          <w:color w:val="000000"/>
        </w:rPr>
        <w:t>cardiovasculare</w:t>
      </w:r>
      <w:proofErr w:type="spellEnd"/>
      <w:r w:rsidRPr="009206EA">
        <w:rPr>
          <w:rFonts w:ascii="Verdana" w:hAnsi="Verdana"/>
          <w:color w:val="000000"/>
        </w:rPr>
        <w:t xml:space="preserve"> </w:t>
      </w:r>
      <w:proofErr w:type="spellStart"/>
      <w:r w:rsidRPr="009206EA">
        <w:rPr>
          <w:rFonts w:ascii="Verdana" w:hAnsi="Verdana"/>
          <w:color w:val="000000"/>
        </w:rPr>
        <w:t>în</w:t>
      </w:r>
      <w:proofErr w:type="spellEnd"/>
      <w:r w:rsidRPr="009206EA">
        <w:rPr>
          <w:rFonts w:ascii="Verdana" w:hAnsi="Verdana"/>
          <w:color w:val="000000"/>
        </w:rPr>
        <w:t xml:space="preserve"> </w:t>
      </w:r>
      <w:proofErr w:type="spellStart"/>
      <w:r w:rsidRPr="009206EA">
        <w:rPr>
          <w:rFonts w:ascii="Verdana" w:hAnsi="Verdana"/>
          <w:color w:val="000000"/>
        </w:rPr>
        <w:t>practica</w:t>
      </w:r>
      <w:proofErr w:type="spellEnd"/>
      <w:r w:rsidRPr="009206EA">
        <w:rPr>
          <w:rFonts w:ascii="Verdana" w:hAnsi="Verdana"/>
          <w:color w:val="000000"/>
        </w:rPr>
        <w:t xml:space="preserve"> </w:t>
      </w:r>
      <w:proofErr w:type="spellStart"/>
      <w:r w:rsidRPr="009206EA">
        <w:rPr>
          <w:rFonts w:ascii="Verdana" w:hAnsi="Verdana"/>
          <w:color w:val="000000"/>
        </w:rPr>
        <w:t>clinică</w:t>
      </w:r>
      <w:proofErr w:type="spellEnd"/>
      <w:r w:rsidRPr="009206EA">
        <w:rPr>
          <w:rStyle w:val="apple-converted-space"/>
          <w:rFonts w:ascii="Verdana" w:hAnsi="Verdana"/>
          <w:color w:val="000000"/>
        </w:rPr>
        <w:t> </w:t>
      </w:r>
      <w:r w:rsidRPr="009206EA">
        <w:rPr>
          <w:rFonts w:ascii="Verdana" w:hAnsi="Verdana"/>
          <w:color w:val="000000"/>
        </w:rPr>
        <w:t>(</w:t>
      </w:r>
      <w:proofErr w:type="spellStart"/>
      <w:r w:rsidRPr="009206EA">
        <w:rPr>
          <w:rFonts w:ascii="Verdana" w:hAnsi="Verdana"/>
          <w:color w:val="000000"/>
        </w:rPr>
        <w:t>O</w:t>
      </w:r>
      <w:r>
        <w:rPr>
          <w:rFonts w:ascii="Verdana" w:hAnsi="Verdana"/>
          <w:color w:val="000000"/>
        </w:rPr>
        <w:t>rdinul</w:t>
      </w:r>
      <w:proofErr w:type="spellEnd"/>
      <w:r w:rsidRPr="009206EA">
        <w:rPr>
          <w:rFonts w:ascii="Verdana" w:hAnsi="Verdana"/>
          <w:color w:val="000000"/>
        </w:rPr>
        <w:t xml:space="preserve"> nr. 1390 din 08.11.2010)</w:t>
      </w:r>
      <w:r w:rsidRPr="009206EA">
        <w:rPr>
          <w:rStyle w:val="apple-converted-space"/>
          <w:rFonts w:ascii="Verdana" w:hAnsi="Verdana"/>
          <w:color w:val="000000"/>
        </w:rPr>
        <w:t> </w:t>
      </w:r>
    </w:p>
    <w:p w:rsidR="009206EA" w:rsidRPr="0069455B" w:rsidRDefault="009206EA" w:rsidP="008F3AEC">
      <w:pPr>
        <w:numPr>
          <w:ilvl w:val="0"/>
          <w:numId w:val="43"/>
        </w:numPr>
        <w:spacing w:line="360" w:lineRule="auto"/>
        <w:jc w:val="both"/>
        <w:rPr>
          <w:rFonts w:ascii="Verdana" w:hAnsi="Verdana"/>
          <w:color w:val="336699"/>
          <w:lang w:val="ro-RO"/>
        </w:rPr>
      </w:pPr>
      <w:r w:rsidRPr="009206EA">
        <w:rPr>
          <w:rFonts w:ascii="Verdana" w:hAnsi="Verdana"/>
          <w:color w:val="000000"/>
          <w:lang w:val="it-IT"/>
        </w:rPr>
        <w:t>Ghid de diagnostic şi tratament al hipertensiunii pulmonare arteriale</w:t>
      </w:r>
      <w:r w:rsidRPr="009206EA">
        <w:rPr>
          <w:rStyle w:val="apple-converted-space"/>
          <w:rFonts w:ascii="Verdana" w:hAnsi="Verdana"/>
          <w:color w:val="000000"/>
          <w:lang w:val="it-IT"/>
        </w:rPr>
        <w:t> </w:t>
      </w:r>
      <w:r w:rsidRPr="009206EA">
        <w:rPr>
          <w:rFonts w:ascii="Verdana" w:hAnsi="Verdana"/>
          <w:color w:val="000000"/>
          <w:lang w:val="it-IT"/>
        </w:rPr>
        <w:t>(ORDIN nr. 1390 din 08.11.2010)</w:t>
      </w:r>
    </w:p>
    <w:p w:rsidR="0069455B" w:rsidRPr="007546BE" w:rsidRDefault="0069455B" w:rsidP="008F3AEC">
      <w:pPr>
        <w:numPr>
          <w:ilvl w:val="0"/>
          <w:numId w:val="43"/>
        </w:numPr>
        <w:spacing w:line="360" w:lineRule="auto"/>
        <w:jc w:val="both"/>
        <w:rPr>
          <w:rFonts w:ascii="Verdana" w:hAnsi="Verdana"/>
          <w:color w:val="336699"/>
          <w:lang w:val="ro-RO"/>
        </w:rPr>
      </w:pPr>
      <w:proofErr w:type="spellStart"/>
      <w:r w:rsidRPr="0069455B">
        <w:rPr>
          <w:rFonts w:ascii="Verdana" w:hAnsi="Verdana"/>
        </w:rPr>
        <w:t>Ghidul</w:t>
      </w:r>
      <w:proofErr w:type="spellEnd"/>
      <w:r w:rsidRPr="0069455B">
        <w:rPr>
          <w:rFonts w:ascii="Verdana" w:hAnsi="Verdana"/>
        </w:rPr>
        <w:t xml:space="preserve"> ESH/ESC </w:t>
      </w:r>
      <w:proofErr w:type="spellStart"/>
      <w:r w:rsidRPr="0069455B">
        <w:rPr>
          <w:rFonts w:ascii="Verdana" w:hAnsi="Verdana"/>
        </w:rPr>
        <w:t>Managementul</w:t>
      </w:r>
      <w:proofErr w:type="spellEnd"/>
      <w:r w:rsidRPr="0069455B">
        <w:rPr>
          <w:rFonts w:ascii="Verdana" w:hAnsi="Verdana"/>
        </w:rPr>
        <w:t xml:space="preserve"> </w:t>
      </w:r>
      <w:proofErr w:type="spellStart"/>
      <w:r w:rsidRPr="0069455B">
        <w:rPr>
          <w:rFonts w:ascii="Verdana" w:hAnsi="Verdana"/>
        </w:rPr>
        <w:t>hipertensiunii</w:t>
      </w:r>
      <w:proofErr w:type="spellEnd"/>
      <w:r w:rsidRPr="0069455B">
        <w:rPr>
          <w:rFonts w:ascii="Verdana" w:hAnsi="Verdana"/>
        </w:rPr>
        <w:t xml:space="preserve"> </w:t>
      </w:r>
      <w:proofErr w:type="spellStart"/>
      <w:r w:rsidRPr="0069455B">
        <w:rPr>
          <w:rFonts w:ascii="Verdana" w:hAnsi="Verdana"/>
        </w:rPr>
        <w:t>arteriale</w:t>
      </w:r>
      <w:proofErr w:type="spellEnd"/>
      <w:r w:rsidRPr="0069455B">
        <w:rPr>
          <w:rFonts w:ascii="Verdana" w:hAnsi="Verdana"/>
        </w:rPr>
        <w:t xml:space="preserve"> 2013</w:t>
      </w:r>
      <w:r w:rsidR="007546BE">
        <w:rPr>
          <w:rFonts w:ascii="Verdana" w:hAnsi="Verdana"/>
        </w:rPr>
        <w:t xml:space="preserve"> </w:t>
      </w:r>
      <w:r w:rsidR="007546BE" w:rsidRPr="007546BE">
        <w:rPr>
          <w:rFonts w:ascii="Verdana" w:hAnsi="Verdana"/>
        </w:rPr>
        <w:t>(</w:t>
      </w:r>
      <w:r w:rsidRPr="007546BE">
        <w:rPr>
          <w:rStyle w:val="FootnoteReference"/>
          <w:rFonts w:ascii="Verdana" w:hAnsi="Verdana"/>
          <w:vertAlign w:val="baseline"/>
        </w:rPr>
        <w:footnoteReference w:id="39"/>
      </w:r>
      <w:r w:rsidR="007546BE" w:rsidRPr="007546BE">
        <w:rPr>
          <w:rFonts w:ascii="Verdana" w:hAnsi="Verdana"/>
        </w:rPr>
        <w:t>)</w:t>
      </w:r>
    </w:p>
    <w:p w:rsidR="00FA0989" w:rsidRPr="005B004B" w:rsidRDefault="00FA0989" w:rsidP="003E7A4E">
      <w:pPr>
        <w:spacing w:line="360" w:lineRule="auto"/>
        <w:ind w:left="720"/>
        <w:rPr>
          <w:rFonts w:ascii="Verdana" w:hAnsi="Verdana"/>
          <w:lang w:val="ro-RO"/>
        </w:rPr>
      </w:pPr>
    </w:p>
    <w:p w:rsidR="003E7A4E" w:rsidRPr="005B004B" w:rsidRDefault="003E7A4E" w:rsidP="006E6D87">
      <w:pPr>
        <w:numPr>
          <w:ilvl w:val="0"/>
          <w:numId w:val="46"/>
        </w:numPr>
        <w:tabs>
          <w:tab w:val="num" w:pos="1080"/>
        </w:tabs>
        <w:spacing w:line="360" w:lineRule="auto"/>
        <w:jc w:val="both"/>
        <w:rPr>
          <w:rFonts w:ascii="Verdana" w:hAnsi="Verdana"/>
          <w:b/>
          <w:lang w:val="ro-RO"/>
        </w:rPr>
      </w:pPr>
      <w:r w:rsidRPr="005B004B">
        <w:rPr>
          <w:rFonts w:ascii="Verdana" w:hAnsi="Verdana"/>
          <w:b/>
          <w:lang w:val="ro-RO"/>
        </w:rPr>
        <w:t>Lista de acte normative</w:t>
      </w:r>
    </w:p>
    <w:p w:rsidR="003E7A4E" w:rsidRPr="005B004B" w:rsidRDefault="003E7A4E" w:rsidP="005331D2">
      <w:pPr>
        <w:numPr>
          <w:ilvl w:val="0"/>
          <w:numId w:val="21"/>
        </w:numPr>
        <w:spacing w:line="360" w:lineRule="auto"/>
        <w:jc w:val="both"/>
        <w:rPr>
          <w:rFonts w:ascii="Verdana" w:hAnsi="Verdana"/>
          <w:lang w:val="ro-RO"/>
        </w:rPr>
      </w:pPr>
      <w:r w:rsidRPr="005B004B">
        <w:rPr>
          <w:rFonts w:ascii="Verdana" w:hAnsi="Verdana"/>
          <w:lang w:val="ro-RO"/>
        </w:rPr>
        <w:t>Ordinului MS 1059/ 02.09.2009 pentru aprobarea ghidurilor de practică medicală.</w:t>
      </w:r>
    </w:p>
    <w:p w:rsidR="003E7A4E" w:rsidRDefault="003E7A4E" w:rsidP="004A49F6">
      <w:pPr>
        <w:numPr>
          <w:ilvl w:val="0"/>
          <w:numId w:val="21"/>
        </w:numPr>
        <w:spacing w:line="360" w:lineRule="auto"/>
        <w:jc w:val="both"/>
        <w:rPr>
          <w:rFonts w:ascii="Verdana" w:hAnsi="Verdana"/>
          <w:lang w:val="ro-RO"/>
        </w:rPr>
      </w:pPr>
      <w:r w:rsidRPr="005B004B">
        <w:rPr>
          <w:rFonts w:ascii="Verdana" w:hAnsi="Verdana"/>
          <w:lang w:val="ro-RO"/>
        </w:rPr>
        <w:t xml:space="preserve">Ordinul MS Nr. 1281/13.10.2009 privind aprobarea normelor metodologice pentru realizarea şi raportarea activităţilor specifice din cadrul </w:t>
      </w:r>
      <w:r w:rsidRPr="005B004B">
        <w:rPr>
          <w:rFonts w:ascii="Verdana" w:hAnsi="Verdana"/>
          <w:i/>
          <w:lang w:val="ro-RO"/>
        </w:rPr>
        <w:t>Subprogramului de screening pentru identificarea pacienţilor cu factori de risc cardiovascular.</w:t>
      </w:r>
      <w:r w:rsidR="001F6047">
        <w:rPr>
          <w:rFonts w:ascii="Verdana" w:hAnsi="Verdana"/>
          <w:i/>
          <w:lang w:val="ro-RO"/>
        </w:rPr>
        <w:t xml:space="preserve"> </w:t>
      </w:r>
      <w:r w:rsidRPr="005B004B">
        <w:rPr>
          <w:rFonts w:ascii="Verdana" w:hAnsi="Verdana"/>
          <w:lang w:val="ro-RO"/>
        </w:rPr>
        <w:t>Cunoaşterea ponderii în rândul populaţiei a factorilor determinanţi pentru BCV, diagnosticarea precoce şi monitorizarea acestora, pentru evitarea deceselor premature.</w:t>
      </w:r>
    </w:p>
    <w:p w:rsidR="00CB0A38" w:rsidRPr="005B004B" w:rsidRDefault="00CB0A38" w:rsidP="00CB0A38">
      <w:pPr>
        <w:numPr>
          <w:ilvl w:val="0"/>
          <w:numId w:val="21"/>
        </w:numPr>
        <w:autoSpaceDE w:val="0"/>
        <w:autoSpaceDN w:val="0"/>
        <w:adjustRightInd w:val="0"/>
        <w:spacing w:line="360" w:lineRule="auto"/>
        <w:jc w:val="both"/>
        <w:rPr>
          <w:rFonts w:ascii="Verdana" w:hAnsi="Verdana"/>
          <w:color w:val="000000"/>
          <w:lang w:val="ro-RO"/>
        </w:rPr>
      </w:pPr>
      <w:r w:rsidRPr="005B004B">
        <w:rPr>
          <w:rFonts w:ascii="Verdana" w:hAnsi="Verdana"/>
          <w:color w:val="000000"/>
          <w:lang w:val="ro-RO"/>
        </w:rPr>
        <w:t xml:space="preserve">ORDIN Nr. 416/428 din 31 martie 2009 pentru aprobarea Normelor metodologice de aplicare a </w:t>
      </w:r>
      <w:r w:rsidRPr="005B004B">
        <w:rPr>
          <w:rFonts w:ascii="Verdana" w:hAnsi="Verdana"/>
          <w:lang w:val="ro-RO"/>
        </w:rPr>
        <w:t>Contractului-cadru</w:t>
      </w:r>
      <w:r w:rsidRPr="005B004B">
        <w:rPr>
          <w:rFonts w:ascii="Verdana" w:hAnsi="Verdana"/>
          <w:color w:val="008100"/>
          <w:lang w:val="ro-RO"/>
        </w:rPr>
        <w:t xml:space="preserve"> </w:t>
      </w:r>
      <w:r w:rsidRPr="005B004B">
        <w:rPr>
          <w:rFonts w:ascii="Verdana" w:hAnsi="Verdana"/>
          <w:color w:val="000000"/>
          <w:lang w:val="ro-RO"/>
        </w:rPr>
        <w:t>privind condiţiile acordării asistenţei medicale în cadrul sistemului de asigurări sociale de sănătate pentru anul 2009</w:t>
      </w:r>
    </w:p>
    <w:p w:rsidR="00CB0A38" w:rsidRPr="00CB0A38" w:rsidRDefault="00CB0A38" w:rsidP="004A49F6">
      <w:pPr>
        <w:numPr>
          <w:ilvl w:val="0"/>
          <w:numId w:val="21"/>
        </w:numPr>
        <w:spacing w:line="360" w:lineRule="auto"/>
        <w:jc w:val="both"/>
        <w:rPr>
          <w:rFonts w:ascii="Verdana" w:hAnsi="Verdana"/>
          <w:lang w:val="ro-RO"/>
        </w:rPr>
      </w:pPr>
      <w:r w:rsidRPr="00CB0A38">
        <w:rPr>
          <w:rFonts w:ascii="Verdana" w:hAnsi="Verdana"/>
          <w:color w:val="000000"/>
          <w:shd w:val="clear" w:color="auto" w:fill="FFFFFF"/>
          <w:lang w:val="ro-RO"/>
        </w:rPr>
        <w:lastRenderedPageBreak/>
        <w:t xml:space="preserve">Ordinul </w:t>
      </w:r>
      <w:r>
        <w:rPr>
          <w:rFonts w:ascii="Verdana" w:hAnsi="Verdana"/>
          <w:color w:val="000000"/>
          <w:shd w:val="clear" w:color="auto" w:fill="FFFFFF"/>
          <w:lang w:val="ro-RO"/>
        </w:rPr>
        <w:t>MS</w:t>
      </w:r>
      <w:r w:rsidRPr="00CB0A38">
        <w:rPr>
          <w:rFonts w:ascii="Verdana" w:hAnsi="Verdana" w:cs="Trebuchet MS"/>
          <w:color w:val="000000"/>
          <w:shd w:val="clear" w:color="auto" w:fill="FFFFFF"/>
          <w:lang w:val="ro-RO"/>
        </w:rPr>
        <w:t xml:space="preserve"> nr. 1390 din 08.11.2010</w:t>
      </w:r>
      <w:r>
        <w:rPr>
          <w:rFonts w:ascii="Verdana" w:hAnsi="Verdana" w:cs="Trebuchet MS"/>
          <w:color w:val="000000"/>
          <w:shd w:val="clear" w:color="auto" w:fill="FFFFFF"/>
          <w:lang w:val="ro-RO"/>
        </w:rPr>
        <w:t>,</w:t>
      </w:r>
      <w:r w:rsidRPr="00CB0A38">
        <w:rPr>
          <w:rFonts w:ascii="Verdana" w:hAnsi="Verdana" w:cs="Trebuchet MS"/>
          <w:color w:val="000000"/>
          <w:shd w:val="clear" w:color="auto" w:fill="FFFFFF"/>
          <w:lang w:val="ro-RO"/>
        </w:rPr>
        <w:t xml:space="preserve"> </w:t>
      </w:r>
      <w:r w:rsidRPr="00CB0A38">
        <w:rPr>
          <w:rFonts w:ascii="Verdana" w:hAnsi="Verdana"/>
          <w:color w:val="000000"/>
          <w:shd w:val="clear" w:color="auto" w:fill="FFFFFF"/>
          <w:lang w:val="ro-RO"/>
        </w:rPr>
        <w:t xml:space="preserve">privind aprobarea Ghidurilor de practică medicală pentru specialitatea cardiologie </w:t>
      </w:r>
    </w:p>
    <w:p w:rsidR="003E7A4E" w:rsidRPr="005B004B" w:rsidRDefault="003E7A4E" w:rsidP="004A49F6">
      <w:pPr>
        <w:numPr>
          <w:ilvl w:val="0"/>
          <w:numId w:val="21"/>
        </w:numPr>
        <w:spacing w:line="360" w:lineRule="auto"/>
        <w:jc w:val="both"/>
        <w:rPr>
          <w:rFonts w:ascii="Verdana" w:hAnsi="Verdana"/>
          <w:lang w:val="ro-RO"/>
        </w:rPr>
      </w:pPr>
      <w:r w:rsidRPr="005B004B">
        <w:rPr>
          <w:rFonts w:ascii="Verdana" w:hAnsi="Verdana"/>
          <w:lang w:val="ro-RO"/>
        </w:rPr>
        <w:t>Ordinul MS. 1591 din 30.12.2010 şi ordinul 1110 din 30.12.2010, pentru aprobarea Normelor tehnice de realizare a programelor naţionale de sănătate pentru anii 2011 şi 2012</w:t>
      </w:r>
    </w:p>
    <w:p w:rsidR="003E7A4E" w:rsidRPr="005B004B" w:rsidRDefault="005331D2" w:rsidP="004A49F6">
      <w:pPr>
        <w:spacing w:line="360" w:lineRule="auto"/>
        <w:ind w:firstLine="360"/>
        <w:jc w:val="both"/>
        <w:rPr>
          <w:rFonts w:ascii="Verdana" w:hAnsi="Verdana"/>
          <w:lang w:val="ro-RO"/>
        </w:rPr>
      </w:pPr>
      <w:r w:rsidRPr="005B004B">
        <w:rPr>
          <w:rFonts w:ascii="Verdana" w:hAnsi="Verdana"/>
          <w:lang w:val="ro-RO"/>
        </w:rPr>
        <w:t xml:space="preserve">- </w:t>
      </w:r>
      <w:r w:rsidRPr="005B004B">
        <w:rPr>
          <w:rFonts w:ascii="Verdana" w:hAnsi="Verdana"/>
          <w:lang w:val="ro-RO"/>
        </w:rPr>
        <w:tab/>
      </w:r>
      <w:r w:rsidR="003E7A4E" w:rsidRPr="005B004B">
        <w:rPr>
          <w:rFonts w:ascii="Verdana" w:hAnsi="Verdana"/>
          <w:lang w:val="ro-RO"/>
        </w:rPr>
        <w:t>Program naţional de boli cardiovasculare</w:t>
      </w:r>
    </w:p>
    <w:p w:rsidR="003E7A4E" w:rsidRPr="005B004B" w:rsidRDefault="003E7A4E" w:rsidP="004A49F6">
      <w:pPr>
        <w:numPr>
          <w:ilvl w:val="2"/>
          <w:numId w:val="3"/>
        </w:numPr>
        <w:spacing w:line="360" w:lineRule="auto"/>
        <w:jc w:val="both"/>
        <w:rPr>
          <w:rFonts w:ascii="Verdana" w:hAnsi="Verdana"/>
          <w:lang w:val="ro-RO"/>
        </w:rPr>
      </w:pPr>
      <w:r w:rsidRPr="005B004B">
        <w:rPr>
          <w:rFonts w:ascii="Verdana" w:hAnsi="Verdana"/>
          <w:lang w:val="ro-RO"/>
        </w:rPr>
        <w:t>Subprogramul de tratament al pacienţilor cu afecţiuni CV.</w:t>
      </w:r>
    </w:p>
    <w:p w:rsidR="003E7A4E" w:rsidRPr="005B004B" w:rsidRDefault="003E7A4E" w:rsidP="004A49F6">
      <w:pPr>
        <w:numPr>
          <w:ilvl w:val="2"/>
          <w:numId w:val="3"/>
        </w:numPr>
        <w:spacing w:line="360" w:lineRule="auto"/>
        <w:jc w:val="both"/>
        <w:rPr>
          <w:rFonts w:ascii="Verdana" w:hAnsi="Verdana"/>
          <w:lang w:val="ro-RO"/>
        </w:rPr>
      </w:pPr>
      <w:r w:rsidRPr="005B004B">
        <w:rPr>
          <w:rFonts w:ascii="Verdana" w:hAnsi="Verdana"/>
          <w:lang w:val="ro-RO"/>
        </w:rPr>
        <w:t>Subprogramul de tratament invaziv al infarctului miocardic.</w:t>
      </w:r>
      <w:r w:rsidR="005331D2" w:rsidRPr="005B004B">
        <w:rPr>
          <w:rFonts w:ascii="Verdana" w:hAnsi="Verdana"/>
          <w:lang w:val="ro-RO"/>
        </w:rPr>
        <w:t xml:space="preserve"> </w:t>
      </w:r>
    </w:p>
    <w:p w:rsidR="003E7A4E" w:rsidRPr="005B004B" w:rsidRDefault="003E7A4E" w:rsidP="004A49F6">
      <w:pPr>
        <w:spacing w:line="360" w:lineRule="auto"/>
        <w:jc w:val="both"/>
        <w:rPr>
          <w:rFonts w:ascii="Verdana" w:hAnsi="Verdana"/>
          <w:b/>
          <w:bCs/>
          <w:lang w:val="ro-RO"/>
        </w:rPr>
      </w:pPr>
      <w:r w:rsidRPr="005B004B">
        <w:rPr>
          <w:rFonts w:ascii="Verdana" w:hAnsi="Verdana"/>
          <w:b/>
          <w:bCs/>
          <w:lang w:val="ro-RO"/>
        </w:rPr>
        <w:t>Recomandări:</w:t>
      </w:r>
    </w:p>
    <w:p w:rsidR="003E7A4E" w:rsidRPr="005B004B" w:rsidRDefault="003E7A4E" w:rsidP="004A49F6">
      <w:pPr>
        <w:autoSpaceDE w:val="0"/>
        <w:autoSpaceDN w:val="0"/>
        <w:adjustRightInd w:val="0"/>
        <w:spacing w:line="360" w:lineRule="auto"/>
        <w:jc w:val="both"/>
        <w:rPr>
          <w:rFonts w:ascii="Verdana" w:hAnsi="Verdana"/>
          <w:lang w:val="ro-RO"/>
        </w:rPr>
      </w:pPr>
      <w:r w:rsidRPr="005B004B">
        <w:rPr>
          <w:rFonts w:ascii="Verdana" w:hAnsi="Verdana"/>
          <w:lang w:val="ro-RO"/>
        </w:rPr>
        <w:t>Controale periodice - epicriză de etapă pentru afecţiunile care necesită dispensarizare</w:t>
      </w:r>
      <w:r w:rsidR="004A49F6">
        <w:rPr>
          <w:rFonts w:ascii="Verdana" w:hAnsi="Verdana"/>
          <w:lang w:val="ro-RO"/>
        </w:rPr>
        <w:t xml:space="preserve"> </w:t>
      </w:r>
      <w:r w:rsidRPr="005B004B">
        <w:rPr>
          <w:rFonts w:ascii="Verdana" w:hAnsi="Verdana"/>
          <w:lang w:val="ro-RO"/>
        </w:rPr>
        <w:t>conform prevederilor legale în vigoare:</w:t>
      </w:r>
    </w:p>
    <w:p w:rsidR="003E7A4E" w:rsidRDefault="003E7A4E" w:rsidP="00046114">
      <w:pPr>
        <w:numPr>
          <w:ilvl w:val="1"/>
          <w:numId w:val="3"/>
        </w:numPr>
        <w:autoSpaceDE w:val="0"/>
        <w:autoSpaceDN w:val="0"/>
        <w:adjustRightInd w:val="0"/>
        <w:spacing w:line="360" w:lineRule="auto"/>
        <w:jc w:val="both"/>
        <w:rPr>
          <w:rFonts w:ascii="Verdana" w:hAnsi="Verdana"/>
          <w:lang w:val="ro-RO"/>
        </w:rPr>
      </w:pPr>
      <w:r w:rsidRPr="005B004B">
        <w:rPr>
          <w:rFonts w:ascii="Verdana" w:hAnsi="Verdana"/>
          <w:lang w:val="ro-RO"/>
        </w:rPr>
        <w:t>HTA cu AVC controale la 3 luni</w:t>
      </w:r>
    </w:p>
    <w:p w:rsidR="004B6025" w:rsidRDefault="004B6025" w:rsidP="00046114">
      <w:pPr>
        <w:autoSpaceDE w:val="0"/>
        <w:autoSpaceDN w:val="0"/>
        <w:adjustRightInd w:val="0"/>
        <w:spacing w:line="360" w:lineRule="auto"/>
        <w:ind w:left="1080"/>
        <w:jc w:val="both"/>
        <w:rPr>
          <w:rFonts w:ascii="Verdana" w:hAnsi="Verdana"/>
          <w:lang w:val="ro-RO"/>
        </w:rPr>
      </w:pPr>
    </w:p>
    <w:p w:rsidR="003E7A4E" w:rsidRPr="005B004B" w:rsidRDefault="003E7A4E" w:rsidP="006E6D87">
      <w:pPr>
        <w:numPr>
          <w:ilvl w:val="0"/>
          <w:numId w:val="46"/>
        </w:numPr>
        <w:tabs>
          <w:tab w:val="num" w:pos="1080"/>
        </w:tabs>
        <w:spacing w:line="360" w:lineRule="auto"/>
        <w:jc w:val="both"/>
        <w:rPr>
          <w:rFonts w:ascii="Verdana" w:hAnsi="Verdana"/>
          <w:b/>
          <w:lang w:val="ro-RO"/>
        </w:rPr>
      </w:pPr>
      <w:r w:rsidRPr="005B004B">
        <w:rPr>
          <w:rFonts w:ascii="Verdana" w:hAnsi="Verdana"/>
          <w:b/>
          <w:lang w:val="ro-RO"/>
        </w:rPr>
        <w:t xml:space="preserve">Strategii, programe de acţiune: </w:t>
      </w:r>
    </w:p>
    <w:p w:rsidR="006E6D87" w:rsidRDefault="006E6D87" w:rsidP="005331D2">
      <w:pPr>
        <w:spacing w:line="360" w:lineRule="auto"/>
        <w:jc w:val="both"/>
        <w:rPr>
          <w:rFonts w:ascii="Verdana" w:hAnsi="Verdana"/>
          <w:b/>
          <w:i/>
          <w:lang w:val="ro-RO"/>
        </w:rPr>
      </w:pPr>
    </w:p>
    <w:p w:rsidR="003E7A4E" w:rsidRPr="005B004B" w:rsidRDefault="003E7A4E" w:rsidP="005331D2">
      <w:pPr>
        <w:spacing w:line="360" w:lineRule="auto"/>
        <w:jc w:val="both"/>
        <w:rPr>
          <w:rFonts w:ascii="Verdana" w:hAnsi="Verdana"/>
          <w:b/>
          <w:i/>
          <w:lang w:val="ro-RO"/>
        </w:rPr>
      </w:pPr>
      <w:r w:rsidRPr="005B004B">
        <w:rPr>
          <w:rFonts w:ascii="Verdana" w:hAnsi="Verdana"/>
          <w:b/>
          <w:i/>
          <w:lang w:val="ro-RO"/>
        </w:rPr>
        <w:t xml:space="preserve"> Internaţionale</w:t>
      </w:r>
    </w:p>
    <w:p w:rsidR="003E7A4E" w:rsidRDefault="00D1462B" w:rsidP="005331D2">
      <w:pPr>
        <w:numPr>
          <w:ilvl w:val="3"/>
          <w:numId w:val="3"/>
        </w:numPr>
        <w:spacing w:line="360" w:lineRule="auto"/>
        <w:jc w:val="both"/>
        <w:rPr>
          <w:rFonts w:ascii="Verdana" w:hAnsi="Verdana"/>
          <w:lang w:val="ro-RO"/>
        </w:rPr>
      </w:pPr>
      <w:r>
        <w:rPr>
          <w:rFonts w:ascii="Verdana" w:hAnsi="Verdana"/>
          <w:lang w:val="ro-RO"/>
        </w:rPr>
        <w:t>„</w:t>
      </w:r>
      <w:r w:rsidR="003E7A4E" w:rsidRPr="00D1462B">
        <w:rPr>
          <w:rFonts w:ascii="Verdana" w:hAnsi="Verdana"/>
          <w:i/>
          <w:lang w:val="ro-RO"/>
        </w:rPr>
        <w:t>European Heart Health Charter EHHC</w:t>
      </w:r>
      <w:r w:rsidR="003E7A4E" w:rsidRPr="005B004B">
        <w:rPr>
          <w:rFonts w:ascii="Verdana" w:hAnsi="Verdana"/>
          <w:lang w:val="ro-RO"/>
        </w:rPr>
        <w:t>” elaborată de Comisia Europeană OMS şi EHN – European Heart Network, Societatea Europeană de cardiologie şi semnată de către acestea la Bruxel</w:t>
      </w:r>
      <w:r w:rsidR="004A49F6">
        <w:rPr>
          <w:rFonts w:ascii="Verdana" w:hAnsi="Verdana"/>
          <w:lang w:val="ro-RO"/>
        </w:rPr>
        <w:t xml:space="preserve">les </w:t>
      </w:r>
      <w:r w:rsidR="003E7A4E" w:rsidRPr="005B004B">
        <w:rPr>
          <w:rFonts w:ascii="Verdana" w:hAnsi="Verdana"/>
          <w:lang w:val="ro-RO"/>
        </w:rPr>
        <w:t>în iunie 2007.</w:t>
      </w:r>
    </w:p>
    <w:p w:rsidR="003365E6" w:rsidRPr="005B004B" w:rsidRDefault="00D1462B" w:rsidP="003365E6">
      <w:pPr>
        <w:numPr>
          <w:ilvl w:val="3"/>
          <w:numId w:val="3"/>
        </w:numPr>
        <w:spacing w:line="360" w:lineRule="auto"/>
        <w:jc w:val="both"/>
        <w:rPr>
          <w:rFonts w:ascii="Verdana" w:hAnsi="Verdana"/>
          <w:lang w:val="ro-RO"/>
        </w:rPr>
      </w:pPr>
      <w:r>
        <w:rPr>
          <w:rFonts w:ascii="Verdana" w:hAnsi="Verdana"/>
          <w:lang w:val="ro-RO"/>
        </w:rPr>
        <w:t>„</w:t>
      </w:r>
      <w:r w:rsidR="003365E6" w:rsidRPr="00D1462B">
        <w:rPr>
          <w:rFonts w:ascii="Verdana" w:hAnsi="Verdana"/>
          <w:i/>
          <w:lang w:val="ro-RO"/>
        </w:rPr>
        <w:t>2008-2013 Action</w:t>
      </w:r>
      <w:r w:rsidRPr="00D1462B">
        <w:rPr>
          <w:rFonts w:ascii="Verdana" w:hAnsi="Verdana"/>
          <w:i/>
          <w:lang w:val="ro-RO"/>
        </w:rPr>
        <w:t xml:space="preserve"> </w:t>
      </w:r>
      <w:r w:rsidR="003365E6" w:rsidRPr="00D1462B">
        <w:rPr>
          <w:rFonts w:ascii="Verdana" w:hAnsi="Verdana"/>
          <w:i/>
          <w:lang w:val="ro-RO"/>
        </w:rPr>
        <w:t>Plan for the Global Strategy for the Prevention and Control of Noncommunicable Diseases</w:t>
      </w:r>
      <w:r w:rsidRPr="00D1462B">
        <w:rPr>
          <w:rFonts w:ascii="Verdana" w:hAnsi="Verdana"/>
          <w:i/>
          <w:lang w:val="ro-RO"/>
        </w:rPr>
        <w:t>”</w:t>
      </w:r>
      <w:r w:rsidR="003365E6">
        <w:rPr>
          <w:rFonts w:ascii="Verdana" w:hAnsi="Verdana"/>
          <w:lang w:val="ro-RO"/>
        </w:rPr>
        <w:t xml:space="preserve"> (WHO)</w:t>
      </w:r>
    </w:p>
    <w:p w:rsidR="003E7A4E" w:rsidRPr="005B004B" w:rsidRDefault="003E7A4E" w:rsidP="003365E6">
      <w:pPr>
        <w:spacing w:line="360" w:lineRule="auto"/>
        <w:ind w:firstLine="720"/>
        <w:jc w:val="both"/>
        <w:rPr>
          <w:rFonts w:ascii="Verdana" w:hAnsi="Verdana"/>
          <w:lang w:val="ro-RO"/>
        </w:rPr>
      </w:pPr>
      <w:r w:rsidRPr="005B004B">
        <w:rPr>
          <w:rFonts w:ascii="Verdana" w:hAnsi="Verdana"/>
          <w:lang w:val="ro-RO"/>
        </w:rPr>
        <w:t xml:space="preserve">România a aderat şi semnat EHHC la 15.09.2007 obiectivele EHHC reducerea incidenţei BCV şi a recurenţelor acestora, a AVC. </w:t>
      </w:r>
    </w:p>
    <w:p w:rsidR="003E7A4E" w:rsidRPr="005B004B" w:rsidRDefault="003E7A4E" w:rsidP="003365E6">
      <w:pPr>
        <w:spacing w:line="360" w:lineRule="auto"/>
        <w:ind w:firstLine="720"/>
        <w:jc w:val="both"/>
        <w:rPr>
          <w:rFonts w:ascii="Verdana" w:hAnsi="Verdana"/>
          <w:lang w:val="ro-RO"/>
        </w:rPr>
      </w:pPr>
      <w:r w:rsidRPr="005B004B">
        <w:rPr>
          <w:rFonts w:ascii="Verdana" w:hAnsi="Verdana"/>
          <w:lang w:val="ro-RO"/>
        </w:rPr>
        <w:t>În strategiile de prevenţie şi promovare se delimitează două căi distincte: strategia „populaţională” aplicată global şi “a riscului înalt” adresat pacienţilor cunoscuţi cu BCV.</w:t>
      </w:r>
    </w:p>
    <w:p w:rsidR="003E7A4E" w:rsidRPr="005B004B" w:rsidRDefault="003E7A4E" w:rsidP="003365E6">
      <w:pPr>
        <w:numPr>
          <w:ilvl w:val="4"/>
          <w:numId w:val="3"/>
        </w:numPr>
        <w:spacing w:line="360" w:lineRule="auto"/>
        <w:jc w:val="both"/>
        <w:rPr>
          <w:rFonts w:ascii="Verdana" w:hAnsi="Verdana"/>
          <w:lang w:val="ro-RO"/>
        </w:rPr>
      </w:pPr>
      <w:r w:rsidRPr="005B004B">
        <w:rPr>
          <w:rFonts w:ascii="Verdana" w:hAnsi="Verdana"/>
          <w:lang w:val="ro-RO"/>
        </w:rPr>
        <w:t>Prevederi ale strategiei  populaţionale: reducerea fumatului, optimizarea dietei, combaterea sedentarismului, informare şi educare continuă</w:t>
      </w:r>
    </w:p>
    <w:p w:rsidR="003E7A4E" w:rsidRPr="005B004B" w:rsidRDefault="003E7A4E" w:rsidP="003365E6">
      <w:pPr>
        <w:numPr>
          <w:ilvl w:val="4"/>
          <w:numId w:val="3"/>
        </w:numPr>
        <w:spacing w:line="360" w:lineRule="auto"/>
        <w:jc w:val="both"/>
        <w:rPr>
          <w:rFonts w:ascii="Verdana" w:hAnsi="Verdana"/>
          <w:lang w:val="ro-RO"/>
        </w:rPr>
      </w:pPr>
      <w:r w:rsidRPr="005B004B">
        <w:rPr>
          <w:rFonts w:ascii="Verdana" w:hAnsi="Verdana"/>
          <w:lang w:val="ro-RO"/>
        </w:rPr>
        <w:lastRenderedPageBreak/>
        <w:t>Prevederi ale strategiei riscului înalt: identificarea pacienţilor cu risc crescut pe baza SCORE („Sistematic Coronary Risk Evaluation”)</w:t>
      </w:r>
    </w:p>
    <w:p w:rsidR="006E6D87" w:rsidRDefault="006E6D87" w:rsidP="005331D2">
      <w:pPr>
        <w:spacing w:line="360" w:lineRule="auto"/>
        <w:jc w:val="both"/>
        <w:rPr>
          <w:rFonts w:ascii="Verdana" w:hAnsi="Verdana"/>
          <w:b/>
          <w:i/>
          <w:lang w:val="ro-RO"/>
        </w:rPr>
      </w:pPr>
    </w:p>
    <w:p w:rsidR="003E7A4E" w:rsidRPr="005B004B" w:rsidRDefault="003E7A4E" w:rsidP="005331D2">
      <w:pPr>
        <w:spacing w:line="360" w:lineRule="auto"/>
        <w:jc w:val="both"/>
        <w:rPr>
          <w:rFonts w:ascii="Verdana" w:hAnsi="Verdana"/>
          <w:b/>
          <w:i/>
          <w:lang w:val="ro-RO"/>
        </w:rPr>
      </w:pPr>
      <w:r w:rsidRPr="005B004B">
        <w:rPr>
          <w:rFonts w:ascii="Verdana" w:hAnsi="Verdana"/>
          <w:b/>
          <w:i/>
          <w:lang w:val="ro-RO"/>
        </w:rPr>
        <w:t xml:space="preserve"> Naţionale</w:t>
      </w:r>
    </w:p>
    <w:p w:rsidR="003E7A4E" w:rsidRDefault="003E7A4E" w:rsidP="005331D2">
      <w:pPr>
        <w:numPr>
          <w:ilvl w:val="0"/>
          <w:numId w:val="23"/>
        </w:numPr>
        <w:spacing w:line="360" w:lineRule="auto"/>
        <w:jc w:val="both"/>
        <w:rPr>
          <w:rFonts w:ascii="Verdana" w:hAnsi="Verdana"/>
          <w:lang w:val="ro-RO"/>
        </w:rPr>
      </w:pPr>
      <w:r w:rsidRPr="005B004B">
        <w:rPr>
          <w:rFonts w:ascii="Verdana" w:hAnsi="Verdana"/>
          <w:lang w:val="ro-RO"/>
        </w:rPr>
        <w:t xml:space="preserve">Subprogramul de screening pentru identificarea pacienţilor cu factori de risc cardiovascular. </w:t>
      </w:r>
    </w:p>
    <w:p w:rsidR="006E6D87" w:rsidRPr="005B004B" w:rsidRDefault="006E6D87" w:rsidP="006E6D87">
      <w:pPr>
        <w:spacing w:line="360" w:lineRule="auto"/>
        <w:jc w:val="both"/>
        <w:rPr>
          <w:rFonts w:ascii="Verdana" w:hAnsi="Verdana"/>
          <w:lang w:val="ro-RO"/>
        </w:rPr>
      </w:pPr>
    </w:p>
    <w:p w:rsidR="003E7A4E" w:rsidRDefault="003E7A4E" w:rsidP="004B6025">
      <w:pPr>
        <w:numPr>
          <w:ilvl w:val="0"/>
          <w:numId w:val="46"/>
        </w:numPr>
        <w:tabs>
          <w:tab w:val="num" w:pos="1080"/>
        </w:tabs>
        <w:spacing w:line="360" w:lineRule="auto"/>
        <w:jc w:val="both"/>
        <w:rPr>
          <w:rFonts w:ascii="Verdana" w:hAnsi="Verdana"/>
          <w:b/>
          <w:lang w:val="ro-RO"/>
        </w:rPr>
      </w:pPr>
      <w:r w:rsidRPr="005B004B">
        <w:rPr>
          <w:rFonts w:ascii="Verdana" w:hAnsi="Verdana"/>
          <w:b/>
          <w:lang w:val="ro-RO"/>
        </w:rPr>
        <w:t>Analiza grupurilor populaţionale</w:t>
      </w:r>
    </w:p>
    <w:p w:rsidR="003E7A4E" w:rsidRPr="005B004B" w:rsidRDefault="003E7A4E" w:rsidP="00897C79">
      <w:pPr>
        <w:numPr>
          <w:ilvl w:val="0"/>
          <w:numId w:val="23"/>
        </w:numPr>
        <w:spacing w:line="360" w:lineRule="auto"/>
        <w:jc w:val="both"/>
        <w:rPr>
          <w:rFonts w:ascii="Verdana" w:hAnsi="Verdana"/>
          <w:lang w:val="ro-RO"/>
        </w:rPr>
      </w:pPr>
      <w:r w:rsidRPr="005B004B">
        <w:rPr>
          <w:rFonts w:ascii="Verdana" w:hAnsi="Verdana"/>
          <w:lang w:val="ro-RO"/>
        </w:rPr>
        <w:t>Prevalenţa HTA din România în raport cu sexul şi mediul de provenienţă.</w:t>
      </w:r>
    </w:p>
    <w:tbl>
      <w:tblPr>
        <w:tblStyle w:val="TableGrid"/>
        <w:tblW w:w="0" w:type="auto"/>
        <w:tblLook w:val="01E0"/>
      </w:tblPr>
      <w:tblGrid>
        <w:gridCol w:w="2132"/>
        <w:gridCol w:w="2132"/>
        <w:gridCol w:w="2132"/>
        <w:gridCol w:w="2133"/>
      </w:tblGrid>
      <w:tr w:rsidR="004B6025" w:rsidTr="00582256">
        <w:tc>
          <w:tcPr>
            <w:tcW w:w="4264" w:type="dxa"/>
            <w:gridSpan w:val="2"/>
            <w:tcBorders>
              <w:right w:val="triple" w:sz="4" w:space="0" w:color="auto"/>
            </w:tcBorders>
            <w:shd w:val="clear" w:color="auto" w:fill="FFFFFF"/>
          </w:tcPr>
          <w:p w:rsidR="004B6025" w:rsidRPr="00582256" w:rsidRDefault="00582256" w:rsidP="00582256">
            <w:pPr>
              <w:spacing w:line="360" w:lineRule="auto"/>
              <w:jc w:val="center"/>
              <w:rPr>
                <w:rFonts w:ascii="Verdana" w:hAnsi="Verdana"/>
                <w:b/>
                <w:lang w:val="ro-RO"/>
              </w:rPr>
            </w:pPr>
            <w:r w:rsidRPr="00582256">
              <w:rPr>
                <w:rFonts w:ascii="Verdana" w:hAnsi="Verdana"/>
                <w:b/>
                <w:lang w:val="ro-RO"/>
              </w:rPr>
              <w:t>Bărbaţi</w:t>
            </w:r>
          </w:p>
        </w:tc>
        <w:tc>
          <w:tcPr>
            <w:tcW w:w="4265" w:type="dxa"/>
            <w:gridSpan w:val="2"/>
            <w:tcBorders>
              <w:left w:val="triple" w:sz="4" w:space="0" w:color="auto"/>
            </w:tcBorders>
            <w:shd w:val="clear" w:color="auto" w:fill="FFFFFF"/>
          </w:tcPr>
          <w:p w:rsidR="004B6025" w:rsidRPr="00582256" w:rsidRDefault="00582256" w:rsidP="00582256">
            <w:pPr>
              <w:spacing w:line="360" w:lineRule="auto"/>
              <w:jc w:val="center"/>
              <w:rPr>
                <w:rFonts w:ascii="Verdana" w:hAnsi="Verdana"/>
                <w:b/>
                <w:lang w:val="ro-RO"/>
              </w:rPr>
            </w:pPr>
            <w:r w:rsidRPr="00582256">
              <w:rPr>
                <w:rFonts w:ascii="Verdana" w:hAnsi="Verdana"/>
                <w:b/>
                <w:lang w:val="ro-RO"/>
              </w:rPr>
              <w:t>Femei</w:t>
            </w:r>
          </w:p>
        </w:tc>
      </w:tr>
      <w:tr w:rsidR="00582256" w:rsidTr="00582256">
        <w:tc>
          <w:tcPr>
            <w:tcW w:w="2132" w:type="dxa"/>
            <w:shd w:val="clear" w:color="auto" w:fill="FFFFFF"/>
          </w:tcPr>
          <w:p w:rsidR="00582256" w:rsidRPr="00582256" w:rsidRDefault="00582256" w:rsidP="00582256">
            <w:pPr>
              <w:spacing w:line="360" w:lineRule="auto"/>
              <w:jc w:val="center"/>
              <w:rPr>
                <w:rFonts w:ascii="Verdana" w:hAnsi="Verdana"/>
                <w:b/>
                <w:lang w:val="ro-RO"/>
              </w:rPr>
            </w:pPr>
            <w:r w:rsidRPr="00582256">
              <w:rPr>
                <w:rFonts w:ascii="Verdana" w:hAnsi="Verdana"/>
                <w:b/>
                <w:lang w:val="ro-RO"/>
              </w:rPr>
              <w:t>urban</w:t>
            </w:r>
          </w:p>
        </w:tc>
        <w:tc>
          <w:tcPr>
            <w:tcW w:w="2132" w:type="dxa"/>
            <w:tcBorders>
              <w:right w:val="double" w:sz="4" w:space="0" w:color="auto"/>
            </w:tcBorders>
            <w:shd w:val="clear" w:color="auto" w:fill="E6E6E6"/>
          </w:tcPr>
          <w:p w:rsidR="00582256" w:rsidRPr="00582256" w:rsidRDefault="00582256" w:rsidP="00582256">
            <w:pPr>
              <w:spacing w:line="360" w:lineRule="auto"/>
              <w:jc w:val="center"/>
              <w:rPr>
                <w:rFonts w:ascii="Verdana" w:hAnsi="Verdana"/>
                <w:b/>
                <w:lang w:val="ro-RO"/>
              </w:rPr>
            </w:pPr>
            <w:r w:rsidRPr="00582256">
              <w:rPr>
                <w:rFonts w:ascii="Verdana" w:hAnsi="Verdana"/>
                <w:b/>
                <w:lang w:val="ro-RO"/>
              </w:rPr>
              <w:t>rural</w:t>
            </w:r>
          </w:p>
        </w:tc>
        <w:tc>
          <w:tcPr>
            <w:tcW w:w="2132" w:type="dxa"/>
            <w:tcBorders>
              <w:left w:val="double" w:sz="4" w:space="0" w:color="auto"/>
            </w:tcBorders>
            <w:shd w:val="clear" w:color="auto" w:fill="FFFFFF"/>
          </w:tcPr>
          <w:p w:rsidR="00582256" w:rsidRPr="00582256" w:rsidRDefault="00582256" w:rsidP="00582256">
            <w:pPr>
              <w:spacing w:line="360" w:lineRule="auto"/>
              <w:jc w:val="center"/>
              <w:rPr>
                <w:rFonts w:ascii="Verdana" w:hAnsi="Verdana"/>
                <w:b/>
                <w:lang w:val="ro-RO"/>
              </w:rPr>
            </w:pPr>
            <w:r w:rsidRPr="00582256">
              <w:rPr>
                <w:rFonts w:ascii="Verdana" w:hAnsi="Verdana"/>
                <w:b/>
                <w:lang w:val="ro-RO"/>
              </w:rPr>
              <w:t>urban</w:t>
            </w:r>
          </w:p>
        </w:tc>
        <w:tc>
          <w:tcPr>
            <w:tcW w:w="2133" w:type="dxa"/>
            <w:shd w:val="clear" w:color="auto" w:fill="E6E6E6"/>
          </w:tcPr>
          <w:p w:rsidR="00582256" w:rsidRPr="00582256" w:rsidRDefault="00582256" w:rsidP="00582256">
            <w:pPr>
              <w:spacing w:line="360" w:lineRule="auto"/>
              <w:jc w:val="center"/>
              <w:rPr>
                <w:rFonts w:ascii="Verdana" w:hAnsi="Verdana"/>
                <w:b/>
                <w:lang w:val="ro-RO"/>
              </w:rPr>
            </w:pPr>
            <w:r w:rsidRPr="00582256">
              <w:rPr>
                <w:rFonts w:ascii="Verdana" w:hAnsi="Verdana"/>
                <w:b/>
                <w:lang w:val="ro-RO"/>
              </w:rPr>
              <w:t>rural</w:t>
            </w:r>
          </w:p>
        </w:tc>
      </w:tr>
      <w:tr w:rsidR="00582256" w:rsidTr="00582256">
        <w:tc>
          <w:tcPr>
            <w:tcW w:w="2132" w:type="dxa"/>
            <w:shd w:val="clear" w:color="auto" w:fill="FFFFFF"/>
          </w:tcPr>
          <w:p w:rsidR="00582256" w:rsidRDefault="00582256" w:rsidP="00582256">
            <w:pPr>
              <w:spacing w:line="360" w:lineRule="auto"/>
              <w:jc w:val="center"/>
              <w:rPr>
                <w:rFonts w:ascii="Verdana" w:hAnsi="Verdana"/>
                <w:lang w:val="ro-RO"/>
              </w:rPr>
            </w:pPr>
            <w:r w:rsidRPr="005B004B">
              <w:rPr>
                <w:rFonts w:ascii="Verdana" w:hAnsi="Verdana"/>
                <w:lang w:val="ro-RO"/>
              </w:rPr>
              <w:t>46,6%</w:t>
            </w:r>
          </w:p>
        </w:tc>
        <w:tc>
          <w:tcPr>
            <w:tcW w:w="2132" w:type="dxa"/>
            <w:tcBorders>
              <w:right w:val="double" w:sz="4" w:space="0" w:color="auto"/>
            </w:tcBorders>
            <w:shd w:val="clear" w:color="auto" w:fill="E6E6E6"/>
          </w:tcPr>
          <w:p w:rsidR="00582256" w:rsidRDefault="00582256" w:rsidP="00582256">
            <w:pPr>
              <w:spacing w:line="360" w:lineRule="auto"/>
              <w:jc w:val="center"/>
              <w:rPr>
                <w:rFonts w:ascii="Verdana" w:hAnsi="Verdana"/>
                <w:lang w:val="ro-RO"/>
              </w:rPr>
            </w:pPr>
            <w:r w:rsidRPr="005B004B">
              <w:rPr>
                <w:rFonts w:ascii="Verdana" w:hAnsi="Verdana"/>
                <w:lang w:val="ro-RO"/>
              </w:rPr>
              <w:t>54,9%</w:t>
            </w:r>
          </w:p>
        </w:tc>
        <w:tc>
          <w:tcPr>
            <w:tcW w:w="2132" w:type="dxa"/>
            <w:tcBorders>
              <w:left w:val="double" w:sz="4" w:space="0" w:color="auto"/>
            </w:tcBorders>
            <w:shd w:val="clear" w:color="auto" w:fill="FFFFFF"/>
          </w:tcPr>
          <w:p w:rsidR="00582256" w:rsidRDefault="00582256" w:rsidP="00582256">
            <w:pPr>
              <w:spacing w:line="360" w:lineRule="auto"/>
              <w:jc w:val="center"/>
              <w:rPr>
                <w:rFonts w:ascii="Verdana" w:hAnsi="Verdana"/>
                <w:lang w:val="ro-RO"/>
              </w:rPr>
            </w:pPr>
            <w:r w:rsidRPr="005B004B">
              <w:rPr>
                <w:rFonts w:ascii="Verdana" w:hAnsi="Verdana"/>
                <w:lang w:val="ro-RO"/>
              </w:rPr>
              <w:t>38%</w:t>
            </w:r>
          </w:p>
        </w:tc>
        <w:tc>
          <w:tcPr>
            <w:tcW w:w="2133" w:type="dxa"/>
            <w:shd w:val="clear" w:color="auto" w:fill="E6E6E6"/>
          </w:tcPr>
          <w:p w:rsidR="00582256" w:rsidRDefault="00582256" w:rsidP="00582256">
            <w:pPr>
              <w:spacing w:line="360" w:lineRule="auto"/>
              <w:jc w:val="center"/>
              <w:rPr>
                <w:rFonts w:ascii="Verdana" w:hAnsi="Verdana"/>
                <w:lang w:val="ro-RO"/>
              </w:rPr>
            </w:pPr>
            <w:r w:rsidRPr="005B004B">
              <w:rPr>
                <w:rFonts w:ascii="Verdana" w:hAnsi="Verdana"/>
                <w:lang w:val="ro-RO"/>
              </w:rPr>
              <w:t>45,42%</w:t>
            </w:r>
          </w:p>
        </w:tc>
      </w:tr>
    </w:tbl>
    <w:p w:rsidR="004B6025" w:rsidRDefault="004B6025" w:rsidP="004B6025">
      <w:pPr>
        <w:spacing w:line="360" w:lineRule="auto"/>
        <w:ind w:left="1080"/>
        <w:jc w:val="both"/>
        <w:rPr>
          <w:rFonts w:ascii="Verdana" w:hAnsi="Verdana"/>
          <w:lang w:val="ro-RO"/>
        </w:rPr>
      </w:pPr>
    </w:p>
    <w:p w:rsidR="003E7A4E" w:rsidRPr="005B004B" w:rsidRDefault="003E7A4E" w:rsidP="00897C79">
      <w:pPr>
        <w:numPr>
          <w:ilvl w:val="0"/>
          <w:numId w:val="23"/>
        </w:numPr>
        <w:spacing w:line="360" w:lineRule="auto"/>
        <w:jc w:val="both"/>
        <w:rPr>
          <w:rFonts w:ascii="Verdana" w:hAnsi="Verdana"/>
          <w:lang w:val="ro-RO"/>
        </w:rPr>
      </w:pPr>
      <w:r w:rsidRPr="005B004B">
        <w:rPr>
          <w:rFonts w:ascii="Verdana" w:hAnsi="Verdana"/>
          <w:lang w:val="ro-RO"/>
        </w:rPr>
        <w:t>Prevalenţa HTA pe grupe de vârstă.</w:t>
      </w:r>
    </w:p>
    <w:tbl>
      <w:tblPr>
        <w:tblStyle w:val="TableGrid"/>
        <w:tblW w:w="0" w:type="auto"/>
        <w:tblLook w:val="01E0"/>
      </w:tblPr>
      <w:tblGrid>
        <w:gridCol w:w="1421"/>
        <w:gridCol w:w="1421"/>
        <w:gridCol w:w="1421"/>
        <w:gridCol w:w="1422"/>
        <w:gridCol w:w="1422"/>
        <w:gridCol w:w="1422"/>
      </w:tblGrid>
      <w:tr w:rsidR="00582256" w:rsidTr="00582256">
        <w:tc>
          <w:tcPr>
            <w:tcW w:w="1421" w:type="dxa"/>
            <w:shd w:val="clear" w:color="auto" w:fill="E0E0E0"/>
          </w:tcPr>
          <w:p w:rsidR="00582256" w:rsidRPr="00582256" w:rsidRDefault="00582256" w:rsidP="00582256">
            <w:pPr>
              <w:spacing w:line="360" w:lineRule="auto"/>
              <w:jc w:val="both"/>
              <w:rPr>
                <w:rFonts w:ascii="Verdana" w:hAnsi="Verdana"/>
                <w:b/>
                <w:sz w:val="22"/>
                <w:szCs w:val="22"/>
                <w:lang w:val="ro-RO"/>
              </w:rPr>
            </w:pPr>
            <w:r w:rsidRPr="00582256">
              <w:rPr>
                <w:rFonts w:ascii="Verdana" w:hAnsi="Verdana"/>
                <w:b/>
                <w:sz w:val="22"/>
                <w:szCs w:val="22"/>
                <w:lang w:val="ro-RO"/>
              </w:rPr>
              <w:t xml:space="preserve">18-24 ani   </w:t>
            </w:r>
          </w:p>
        </w:tc>
        <w:tc>
          <w:tcPr>
            <w:tcW w:w="1421" w:type="dxa"/>
            <w:shd w:val="clear" w:color="auto" w:fill="E0E0E0"/>
          </w:tcPr>
          <w:p w:rsidR="00582256" w:rsidRPr="00582256" w:rsidRDefault="00582256" w:rsidP="00582256">
            <w:pPr>
              <w:spacing w:line="360" w:lineRule="auto"/>
              <w:jc w:val="both"/>
              <w:rPr>
                <w:rFonts w:ascii="Verdana" w:hAnsi="Verdana"/>
                <w:b/>
                <w:sz w:val="22"/>
                <w:szCs w:val="22"/>
                <w:lang w:val="ro-RO"/>
              </w:rPr>
            </w:pPr>
            <w:r w:rsidRPr="00582256">
              <w:rPr>
                <w:rFonts w:ascii="Verdana" w:hAnsi="Verdana"/>
                <w:b/>
                <w:sz w:val="22"/>
                <w:szCs w:val="22"/>
                <w:lang w:val="ro-RO"/>
              </w:rPr>
              <w:t xml:space="preserve">25-34 ani   </w:t>
            </w:r>
          </w:p>
        </w:tc>
        <w:tc>
          <w:tcPr>
            <w:tcW w:w="1421" w:type="dxa"/>
            <w:shd w:val="clear" w:color="auto" w:fill="E0E0E0"/>
          </w:tcPr>
          <w:p w:rsidR="00582256" w:rsidRPr="00582256" w:rsidRDefault="00582256" w:rsidP="00582256">
            <w:pPr>
              <w:spacing w:line="360" w:lineRule="auto"/>
              <w:jc w:val="both"/>
              <w:rPr>
                <w:rFonts w:ascii="Verdana" w:hAnsi="Verdana"/>
                <w:b/>
                <w:sz w:val="22"/>
                <w:szCs w:val="22"/>
                <w:lang w:val="ro-RO"/>
              </w:rPr>
            </w:pPr>
            <w:r w:rsidRPr="00582256">
              <w:rPr>
                <w:rFonts w:ascii="Verdana" w:hAnsi="Verdana"/>
                <w:b/>
                <w:sz w:val="22"/>
                <w:szCs w:val="22"/>
                <w:lang w:val="ro-RO"/>
              </w:rPr>
              <w:t xml:space="preserve">35-44 ani   </w:t>
            </w:r>
          </w:p>
        </w:tc>
        <w:tc>
          <w:tcPr>
            <w:tcW w:w="1422" w:type="dxa"/>
            <w:shd w:val="clear" w:color="auto" w:fill="E0E0E0"/>
          </w:tcPr>
          <w:p w:rsidR="00582256" w:rsidRPr="00582256" w:rsidRDefault="00582256" w:rsidP="00582256">
            <w:pPr>
              <w:spacing w:line="360" w:lineRule="auto"/>
              <w:jc w:val="both"/>
              <w:rPr>
                <w:rFonts w:ascii="Verdana" w:hAnsi="Verdana"/>
                <w:b/>
                <w:sz w:val="22"/>
                <w:szCs w:val="22"/>
                <w:lang w:val="ro-RO"/>
              </w:rPr>
            </w:pPr>
            <w:r w:rsidRPr="00582256">
              <w:rPr>
                <w:rFonts w:ascii="Verdana" w:hAnsi="Verdana"/>
                <w:b/>
                <w:sz w:val="22"/>
                <w:szCs w:val="22"/>
                <w:lang w:val="ro-RO"/>
              </w:rPr>
              <w:t>45-54 ani</w:t>
            </w:r>
          </w:p>
        </w:tc>
        <w:tc>
          <w:tcPr>
            <w:tcW w:w="1422" w:type="dxa"/>
            <w:shd w:val="clear" w:color="auto" w:fill="E0E0E0"/>
          </w:tcPr>
          <w:p w:rsidR="00582256" w:rsidRPr="00582256" w:rsidRDefault="00582256" w:rsidP="00582256">
            <w:pPr>
              <w:spacing w:line="360" w:lineRule="auto"/>
              <w:jc w:val="both"/>
              <w:rPr>
                <w:rFonts w:ascii="Verdana" w:hAnsi="Verdana"/>
                <w:b/>
                <w:sz w:val="22"/>
                <w:szCs w:val="22"/>
                <w:lang w:val="ro-RO"/>
              </w:rPr>
            </w:pPr>
            <w:r w:rsidRPr="00582256">
              <w:rPr>
                <w:rFonts w:ascii="Verdana" w:hAnsi="Verdana"/>
                <w:b/>
                <w:sz w:val="22"/>
                <w:szCs w:val="22"/>
                <w:lang w:val="ro-RO"/>
              </w:rPr>
              <w:t>55-64 ani</w:t>
            </w:r>
          </w:p>
        </w:tc>
        <w:tc>
          <w:tcPr>
            <w:tcW w:w="1422" w:type="dxa"/>
            <w:shd w:val="clear" w:color="auto" w:fill="E0E0E0"/>
          </w:tcPr>
          <w:p w:rsidR="00582256" w:rsidRPr="00582256" w:rsidRDefault="00582256" w:rsidP="00582256">
            <w:pPr>
              <w:spacing w:line="360" w:lineRule="auto"/>
              <w:jc w:val="both"/>
              <w:rPr>
                <w:rFonts w:ascii="Verdana" w:hAnsi="Verdana"/>
                <w:b/>
                <w:sz w:val="22"/>
                <w:szCs w:val="22"/>
                <w:lang w:val="ro-RO"/>
              </w:rPr>
            </w:pPr>
            <w:r w:rsidRPr="00582256">
              <w:rPr>
                <w:rFonts w:ascii="Verdana" w:hAnsi="Verdana"/>
                <w:b/>
                <w:sz w:val="22"/>
                <w:szCs w:val="22"/>
                <w:lang w:val="ro-RO"/>
              </w:rPr>
              <w:t>≥65 ani</w:t>
            </w:r>
          </w:p>
        </w:tc>
      </w:tr>
      <w:tr w:rsidR="00582256" w:rsidTr="00582256">
        <w:tc>
          <w:tcPr>
            <w:tcW w:w="1421" w:type="dxa"/>
          </w:tcPr>
          <w:p w:rsidR="00582256" w:rsidRDefault="00582256" w:rsidP="00582256">
            <w:pPr>
              <w:spacing w:line="360" w:lineRule="auto"/>
              <w:jc w:val="both"/>
              <w:rPr>
                <w:rFonts w:ascii="Verdana" w:hAnsi="Verdana"/>
                <w:lang w:val="ro-RO"/>
              </w:rPr>
            </w:pPr>
            <w:r w:rsidRPr="005B004B">
              <w:rPr>
                <w:rFonts w:ascii="Verdana" w:hAnsi="Verdana"/>
                <w:lang w:val="ro-RO"/>
              </w:rPr>
              <w:t>8,75%</w:t>
            </w:r>
          </w:p>
        </w:tc>
        <w:tc>
          <w:tcPr>
            <w:tcW w:w="1421" w:type="dxa"/>
          </w:tcPr>
          <w:p w:rsidR="00582256" w:rsidRDefault="00582256" w:rsidP="00582256">
            <w:pPr>
              <w:spacing w:line="360" w:lineRule="auto"/>
              <w:jc w:val="both"/>
              <w:rPr>
                <w:rFonts w:ascii="Verdana" w:hAnsi="Verdana"/>
                <w:lang w:val="ro-RO"/>
              </w:rPr>
            </w:pPr>
            <w:r w:rsidRPr="005B004B">
              <w:rPr>
                <w:rFonts w:ascii="Verdana" w:hAnsi="Verdana"/>
                <w:lang w:val="ro-RO"/>
              </w:rPr>
              <w:t>15%</w:t>
            </w:r>
          </w:p>
        </w:tc>
        <w:tc>
          <w:tcPr>
            <w:tcW w:w="1421" w:type="dxa"/>
          </w:tcPr>
          <w:p w:rsidR="00582256" w:rsidRDefault="00582256" w:rsidP="00582256">
            <w:pPr>
              <w:spacing w:line="360" w:lineRule="auto"/>
              <w:jc w:val="both"/>
              <w:rPr>
                <w:rFonts w:ascii="Verdana" w:hAnsi="Verdana"/>
                <w:lang w:val="ro-RO"/>
              </w:rPr>
            </w:pPr>
            <w:r w:rsidRPr="005B004B">
              <w:rPr>
                <w:rFonts w:ascii="Verdana" w:hAnsi="Verdana"/>
                <w:lang w:val="ro-RO"/>
              </w:rPr>
              <w:t>28,12%</w:t>
            </w:r>
          </w:p>
        </w:tc>
        <w:tc>
          <w:tcPr>
            <w:tcW w:w="1422" w:type="dxa"/>
          </w:tcPr>
          <w:p w:rsidR="00582256" w:rsidRDefault="00582256" w:rsidP="00582256">
            <w:pPr>
              <w:spacing w:line="360" w:lineRule="auto"/>
              <w:jc w:val="both"/>
              <w:rPr>
                <w:rFonts w:ascii="Verdana" w:hAnsi="Verdana"/>
                <w:lang w:val="ro-RO"/>
              </w:rPr>
            </w:pPr>
            <w:r w:rsidRPr="005B004B">
              <w:rPr>
                <w:rFonts w:ascii="Verdana" w:hAnsi="Verdana"/>
                <w:lang w:val="ro-RO"/>
              </w:rPr>
              <w:t>51,4%</w:t>
            </w:r>
          </w:p>
        </w:tc>
        <w:tc>
          <w:tcPr>
            <w:tcW w:w="1422" w:type="dxa"/>
          </w:tcPr>
          <w:p w:rsidR="00582256" w:rsidRDefault="00582256" w:rsidP="00582256">
            <w:pPr>
              <w:spacing w:line="360" w:lineRule="auto"/>
              <w:jc w:val="both"/>
              <w:rPr>
                <w:rFonts w:ascii="Verdana" w:hAnsi="Verdana"/>
                <w:lang w:val="ro-RO"/>
              </w:rPr>
            </w:pPr>
            <w:r w:rsidRPr="005B004B">
              <w:rPr>
                <w:rFonts w:ascii="Verdana" w:hAnsi="Verdana"/>
                <w:lang w:val="ro-RO"/>
              </w:rPr>
              <w:t>65,54%</w:t>
            </w:r>
          </w:p>
        </w:tc>
        <w:tc>
          <w:tcPr>
            <w:tcW w:w="1422" w:type="dxa"/>
          </w:tcPr>
          <w:p w:rsidR="00582256" w:rsidRDefault="00582256" w:rsidP="00582256">
            <w:pPr>
              <w:spacing w:line="360" w:lineRule="auto"/>
              <w:jc w:val="both"/>
              <w:rPr>
                <w:rFonts w:ascii="Verdana" w:hAnsi="Verdana"/>
                <w:lang w:val="ro-RO"/>
              </w:rPr>
            </w:pPr>
            <w:r w:rsidRPr="005B004B">
              <w:rPr>
                <w:rFonts w:ascii="Verdana" w:hAnsi="Verdana"/>
                <w:lang w:val="ro-RO"/>
              </w:rPr>
              <w:t>75,06%</w:t>
            </w:r>
          </w:p>
        </w:tc>
      </w:tr>
    </w:tbl>
    <w:p w:rsidR="003909AE" w:rsidRPr="005B004B" w:rsidRDefault="003E7A4E" w:rsidP="006E6D87">
      <w:pPr>
        <w:jc w:val="both"/>
        <w:rPr>
          <w:rFonts w:ascii="Verdana" w:hAnsi="Verdana"/>
          <w:i/>
          <w:lang w:val="ro-RO"/>
        </w:rPr>
      </w:pPr>
      <w:r w:rsidRPr="005B004B">
        <w:rPr>
          <w:rFonts w:ascii="Verdana" w:hAnsi="Verdana"/>
          <w:lang w:val="ro-RO"/>
        </w:rPr>
        <w:t>(</w:t>
      </w:r>
      <w:r w:rsidR="00897C79" w:rsidRPr="005B004B">
        <w:rPr>
          <w:rFonts w:ascii="Verdana" w:hAnsi="Verdana"/>
          <w:lang w:val="ro-RO"/>
        </w:rPr>
        <w:t xml:space="preserve">Sursa - </w:t>
      </w:r>
      <w:r w:rsidR="005331D2" w:rsidRPr="005B004B">
        <w:rPr>
          <w:rFonts w:ascii="Verdana" w:hAnsi="Verdana"/>
          <w:lang w:val="ro-RO"/>
        </w:rPr>
        <w:t>Prevalence, Awareness, Treatment, and Control of Hypertension in Romania:</w:t>
      </w:r>
      <w:r w:rsidR="009A7793">
        <w:rPr>
          <w:rFonts w:ascii="Verdana" w:hAnsi="Verdana"/>
          <w:lang w:val="ro-RO"/>
        </w:rPr>
        <w:t xml:space="preserve"> </w:t>
      </w:r>
      <w:r w:rsidR="005331D2" w:rsidRPr="005B004B">
        <w:rPr>
          <w:rFonts w:ascii="Verdana" w:hAnsi="Verdana"/>
          <w:lang w:val="ro-RO"/>
        </w:rPr>
        <w:t>Results of the SEPHAR Study</w:t>
      </w:r>
      <w:r w:rsidRPr="005B004B">
        <w:rPr>
          <w:rFonts w:ascii="Verdana" w:hAnsi="Verdana"/>
          <w:lang w:val="ro-RO"/>
        </w:rPr>
        <w:t xml:space="preserve">, </w:t>
      </w:r>
      <w:r w:rsidRPr="005B004B">
        <w:rPr>
          <w:rFonts w:ascii="Verdana" w:hAnsi="Verdana"/>
          <w:i/>
          <w:lang w:val="ro-RO"/>
        </w:rPr>
        <w:t>International Journal of Hypertension, vol. 2010)</w:t>
      </w:r>
    </w:p>
    <w:p w:rsidR="00C97B2A" w:rsidRDefault="00C97B2A" w:rsidP="003909AE">
      <w:pPr>
        <w:spacing w:line="360" w:lineRule="auto"/>
        <w:jc w:val="both"/>
        <w:rPr>
          <w:rFonts w:ascii="Verdana" w:hAnsi="Verdana"/>
          <w:b/>
          <w:lang w:val="ro-RO"/>
        </w:rPr>
      </w:pPr>
    </w:p>
    <w:p w:rsidR="003E7A4E" w:rsidRDefault="003E7A4E" w:rsidP="003909AE">
      <w:pPr>
        <w:spacing w:line="360" w:lineRule="auto"/>
        <w:jc w:val="both"/>
        <w:rPr>
          <w:rFonts w:ascii="Verdana" w:hAnsi="Verdana"/>
          <w:b/>
          <w:i/>
          <w:lang w:val="ro-RO"/>
        </w:rPr>
      </w:pPr>
      <w:r w:rsidRPr="005B004B">
        <w:rPr>
          <w:rFonts w:ascii="Verdana" w:hAnsi="Verdana"/>
          <w:b/>
          <w:lang w:val="ro-RO"/>
        </w:rPr>
        <w:t xml:space="preserve">Grupe de risc ale pacienţilor cu HTA </w:t>
      </w:r>
      <w:r w:rsidRPr="005B004B">
        <w:rPr>
          <w:rFonts w:ascii="Verdana" w:hAnsi="Verdana"/>
          <w:b/>
          <w:i/>
          <w:lang w:val="ro-RO"/>
        </w:rPr>
        <w:t>(Conform Ghidului de diagnostic şi tratament Hipertensiunea Arterială, elaborat de Comisia de Cardiologie)</w:t>
      </w:r>
    </w:p>
    <w:p w:rsidR="00237DB9" w:rsidRDefault="00237DB9" w:rsidP="00237DB9">
      <w:pPr>
        <w:spacing w:line="360" w:lineRule="auto"/>
        <w:jc w:val="both"/>
        <w:rPr>
          <w:rFonts w:ascii="Verdana" w:hAnsi="Verdana"/>
          <w:b/>
          <w:i/>
          <w:lang w:val="ro-RO"/>
        </w:rPr>
      </w:pPr>
    </w:p>
    <w:p w:rsidR="003E7A4E" w:rsidRPr="005B004B" w:rsidRDefault="003E7A4E" w:rsidP="00720F25">
      <w:pPr>
        <w:numPr>
          <w:ilvl w:val="0"/>
          <w:numId w:val="23"/>
        </w:numPr>
        <w:spacing w:line="360" w:lineRule="auto"/>
        <w:jc w:val="both"/>
        <w:rPr>
          <w:rFonts w:ascii="Verdana" w:hAnsi="Verdana"/>
          <w:b/>
          <w:i/>
          <w:lang w:val="ro-RO"/>
        </w:rPr>
      </w:pPr>
      <w:r w:rsidRPr="005B004B">
        <w:rPr>
          <w:rFonts w:ascii="Verdana" w:hAnsi="Verdana"/>
          <w:b/>
          <w:i/>
          <w:lang w:val="ro-RO"/>
        </w:rPr>
        <w:t xml:space="preserve">Grupa cu risc scăzut </w:t>
      </w:r>
    </w:p>
    <w:p w:rsidR="003E7A4E" w:rsidRPr="005B004B" w:rsidRDefault="003E7A4E" w:rsidP="003E7A4E">
      <w:pPr>
        <w:numPr>
          <w:ilvl w:val="1"/>
          <w:numId w:val="3"/>
        </w:numPr>
        <w:spacing w:line="360" w:lineRule="auto"/>
        <w:jc w:val="both"/>
        <w:rPr>
          <w:rFonts w:ascii="Verdana" w:hAnsi="Verdana"/>
          <w:lang w:val="ro-RO"/>
        </w:rPr>
      </w:pPr>
      <w:r w:rsidRPr="005B004B">
        <w:rPr>
          <w:rFonts w:ascii="Verdana" w:hAnsi="Verdana"/>
          <w:lang w:val="ro-RO"/>
        </w:rPr>
        <w:t>bărbaţi &lt; 55 ani şi femei &lt;65 ani cu HTA de gradul I</w:t>
      </w:r>
    </w:p>
    <w:p w:rsidR="003E7A4E" w:rsidRPr="005B004B" w:rsidRDefault="003E7A4E" w:rsidP="003E7A4E">
      <w:pPr>
        <w:numPr>
          <w:ilvl w:val="1"/>
          <w:numId w:val="3"/>
        </w:numPr>
        <w:spacing w:line="360" w:lineRule="auto"/>
        <w:jc w:val="both"/>
        <w:rPr>
          <w:rFonts w:ascii="Verdana" w:hAnsi="Verdana"/>
          <w:lang w:val="ro-RO"/>
        </w:rPr>
      </w:pPr>
      <w:r w:rsidRPr="005B004B">
        <w:rPr>
          <w:rFonts w:ascii="Verdana" w:hAnsi="Verdana"/>
          <w:lang w:val="ro-RO"/>
        </w:rPr>
        <w:t>fără factori de risc</w:t>
      </w:r>
    </w:p>
    <w:p w:rsidR="003E7A4E" w:rsidRPr="005B004B" w:rsidRDefault="003E7A4E" w:rsidP="003E7A4E">
      <w:pPr>
        <w:numPr>
          <w:ilvl w:val="1"/>
          <w:numId w:val="3"/>
        </w:numPr>
        <w:spacing w:line="360" w:lineRule="auto"/>
        <w:jc w:val="both"/>
        <w:rPr>
          <w:rFonts w:ascii="Verdana" w:hAnsi="Verdana"/>
          <w:lang w:val="ro-RO"/>
        </w:rPr>
      </w:pPr>
      <w:r w:rsidRPr="005B004B">
        <w:rPr>
          <w:rFonts w:ascii="Verdana" w:hAnsi="Verdana"/>
          <w:lang w:val="ro-RO"/>
        </w:rPr>
        <w:t>riscul de eveniment CV major în următorii 10 ani este de 15%</w:t>
      </w:r>
    </w:p>
    <w:p w:rsidR="003E7A4E" w:rsidRPr="005B004B" w:rsidRDefault="003E7A4E" w:rsidP="00720F25">
      <w:pPr>
        <w:numPr>
          <w:ilvl w:val="0"/>
          <w:numId w:val="23"/>
        </w:numPr>
        <w:spacing w:line="360" w:lineRule="auto"/>
        <w:jc w:val="both"/>
        <w:rPr>
          <w:rFonts w:ascii="Verdana" w:hAnsi="Verdana"/>
          <w:b/>
          <w:i/>
          <w:lang w:val="ro-RO"/>
        </w:rPr>
      </w:pPr>
      <w:r w:rsidRPr="005B004B">
        <w:rPr>
          <w:rFonts w:ascii="Verdana" w:hAnsi="Verdana"/>
          <w:b/>
          <w:i/>
          <w:lang w:val="ro-RO"/>
        </w:rPr>
        <w:t>Grupa de risc mediu</w:t>
      </w:r>
    </w:p>
    <w:p w:rsidR="003E7A4E" w:rsidRPr="005B004B" w:rsidRDefault="003E7A4E" w:rsidP="003E7A4E">
      <w:pPr>
        <w:numPr>
          <w:ilvl w:val="1"/>
          <w:numId w:val="3"/>
        </w:numPr>
        <w:spacing w:line="360" w:lineRule="auto"/>
        <w:jc w:val="both"/>
        <w:rPr>
          <w:rFonts w:ascii="Verdana" w:hAnsi="Verdana"/>
          <w:lang w:val="ro-RO"/>
        </w:rPr>
      </w:pPr>
      <w:r w:rsidRPr="005B004B">
        <w:rPr>
          <w:rFonts w:ascii="Verdana" w:hAnsi="Verdana"/>
          <w:lang w:val="ro-RO"/>
        </w:rPr>
        <w:t>pacienţi cu HTA de niveluri diferite</w:t>
      </w:r>
    </w:p>
    <w:p w:rsidR="003E7A4E" w:rsidRPr="005B004B" w:rsidRDefault="003E7A4E" w:rsidP="003E7A4E">
      <w:pPr>
        <w:numPr>
          <w:ilvl w:val="1"/>
          <w:numId w:val="3"/>
        </w:numPr>
        <w:spacing w:line="360" w:lineRule="auto"/>
        <w:jc w:val="both"/>
        <w:rPr>
          <w:rFonts w:ascii="Verdana" w:hAnsi="Verdana"/>
          <w:lang w:val="ro-RO"/>
        </w:rPr>
      </w:pPr>
      <w:r w:rsidRPr="005B004B">
        <w:rPr>
          <w:rFonts w:ascii="Verdana" w:hAnsi="Verdana"/>
          <w:lang w:val="ro-RO"/>
        </w:rPr>
        <w:lastRenderedPageBreak/>
        <w:t>prezenţa mai multor factori de risc</w:t>
      </w:r>
    </w:p>
    <w:p w:rsidR="003E7A4E" w:rsidRDefault="003E7A4E" w:rsidP="003E7A4E">
      <w:pPr>
        <w:numPr>
          <w:ilvl w:val="1"/>
          <w:numId w:val="3"/>
        </w:numPr>
        <w:spacing w:line="360" w:lineRule="auto"/>
        <w:jc w:val="both"/>
        <w:rPr>
          <w:rFonts w:ascii="Verdana" w:hAnsi="Verdana"/>
          <w:lang w:val="ro-RO"/>
        </w:rPr>
      </w:pPr>
      <w:r w:rsidRPr="005B004B">
        <w:rPr>
          <w:rFonts w:ascii="Verdana" w:hAnsi="Verdana"/>
          <w:lang w:val="ro-RO"/>
        </w:rPr>
        <w:t xml:space="preserve"> riscul de eveniment CV major în următorii 10 ani este de 15%- 20%</w:t>
      </w:r>
    </w:p>
    <w:p w:rsidR="003E7A4E" w:rsidRPr="005B004B" w:rsidRDefault="003E7A4E" w:rsidP="00720F25">
      <w:pPr>
        <w:numPr>
          <w:ilvl w:val="0"/>
          <w:numId w:val="23"/>
        </w:numPr>
        <w:spacing w:line="360" w:lineRule="auto"/>
        <w:jc w:val="both"/>
        <w:rPr>
          <w:rFonts w:ascii="Verdana" w:hAnsi="Verdana"/>
          <w:b/>
          <w:i/>
          <w:lang w:val="ro-RO"/>
        </w:rPr>
      </w:pPr>
      <w:r w:rsidRPr="005B004B">
        <w:rPr>
          <w:rFonts w:ascii="Verdana" w:hAnsi="Verdana"/>
          <w:b/>
          <w:i/>
          <w:lang w:val="ro-RO"/>
        </w:rPr>
        <w:t>Grupa de risc înalt</w:t>
      </w:r>
    </w:p>
    <w:p w:rsidR="003E7A4E" w:rsidRPr="005B004B" w:rsidRDefault="003E7A4E" w:rsidP="003E7A4E">
      <w:pPr>
        <w:numPr>
          <w:ilvl w:val="1"/>
          <w:numId w:val="3"/>
        </w:numPr>
        <w:spacing w:line="360" w:lineRule="auto"/>
        <w:jc w:val="both"/>
        <w:rPr>
          <w:rFonts w:ascii="Verdana" w:hAnsi="Verdana"/>
          <w:lang w:val="ro-RO"/>
        </w:rPr>
      </w:pPr>
      <w:r w:rsidRPr="005B004B">
        <w:rPr>
          <w:rFonts w:ascii="Verdana" w:hAnsi="Verdana"/>
          <w:lang w:val="ro-RO"/>
        </w:rPr>
        <w:t>pacienţi cu HTA de gradul 1 şi 2 care au 3 sau mai mulţi factori d</w:t>
      </w:r>
      <w:r w:rsidR="009A7793">
        <w:rPr>
          <w:rFonts w:ascii="Verdana" w:hAnsi="Verdana"/>
          <w:lang w:val="ro-RO"/>
        </w:rPr>
        <w:t>e risc asociaţi, diabet sau afe</w:t>
      </w:r>
      <w:r w:rsidRPr="005B004B">
        <w:rPr>
          <w:rFonts w:ascii="Verdana" w:hAnsi="Verdana"/>
          <w:lang w:val="ro-RO"/>
        </w:rPr>
        <w:t>c</w:t>
      </w:r>
      <w:r w:rsidR="009A7793">
        <w:rPr>
          <w:rFonts w:ascii="Verdana" w:hAnsi="Verdana"/>
          <w:lang w:val="ro-RO"/>
        </w:rPr>
        <w:t>t</w:t>
      </w:r>
      <w:r w:rsidRPr="005B004B">
        <w:rPr>
          <w:rFonts w:ascii="Verdana" w:hAnsi="Verdana"/>
          <w:lang w:val="ro-RO"/>
        </w:rPr>
        <w:t>area organelor ţintă</w:t>
      </w:r>
    </w:p>
    <w:p w:rsidR="003E7A4E" w:rsidRPr="005B004B" w:rsidRDefault="003E7A4E" w:rsidP="003E7A4E">
      <w:pPr>
        <w:numPr>
          <w:ilvl w:val="1"/>
          <w:numId w:val="3"/>
        </w:numPr>
        <w:spacing w:line="360" w:lineRule="auto"/>
        <w:jc w:val="both"/>
        <w:rPr>
          <w:rFonts w:ascii="Verdana" w:hAnsi="Verdana"/>
          <w:lang w:val="ro-RO"/>
        </w:rPr>
      </w:pPr>
      <w:r w:rsidRPr="005B004B">
        <w:rPr>
          <w:rFonts w:ascii="Verdana" w:hAnsi="Verdana"/>
          <w:lang w:val="ro-RO"/>
        </w:rPr>
        <w:t>pacienţi cu HTA severă fără factori de risc asociaţi</w:t>
      </w:r>
    </w:p>
    <w:p w:rsidR="003E7A4E" w:rsidRPr="005B004B" w:rsidRDefault="003E7A4E" w:rsidP="003E7A4E">
      <w:pPr>
        <w:numPr>
          <w:ilvl w:val="1"/>
          <w:numId w:val="3"/>
        </w:numPr>
        <w:spacing w:line="360" w:lineRule="auto"/>
        <w:jc w:val="both"/>
        <w:rPr>
          <w:rFonts w:ascii="Verdana" w:hAnsi="Verdana"/>
          <w:lang w:val="ro-RO"/>
        </w:rPr>
      </w:pPr>
      <w:r w:rsidRPr="005B004B">
        <w:rPr>
          <w:rFonts w:ascii="Verdana" w:hAnsi="Verdana"/>
          <w:lang w:val="ro-RO"/>
        </w:rPr>
        <w:t>risc de eveniment CV major la 10 ani este de 20-30%</w:t>
      </w:r>
    </w:p>
    <w:p w:rsidR="003E7A4E" w:rsidRPr="005B004B" w:rsidRDefault="003E7A4E" w:rsidP="00720F25">
      <w:pPr>
        <w:numPr>
          <w:ilvl w:val="0"/>
          <w:numId w:val="23"/>
        </w:numPr>
        <w:spacing w:line="360" w:lineRule="auto"/>
        <w:jc w:val="both"/>
        <w:rPr>
          <w:rFonts w:ascii="Verdana" w:hAnsi="Verdana"/>
          <w:b/>
          <w:i/>
          <w:lang w:val="ro-RO"/>
        </w:rPr>
      </w:pPr>
      <w:r w:rsidRPr="005B004B">
        <w:rPr>
          <w:rFonts w:ascii="Verdana" w:hAnsi="Verdana"/>
          <w:b/>
          <w:i/>
          <w:lang w:val="ro-RO"/>
        </w:rPr>
        <w:t>Grupa de risc foarte înalt</w:t>
      </w:r>
    </w:p>
    <w:p w:rsidR="003E7A4E" w:rsidRPr="005B004B" w:rsidRDefault="003E7A4E" w:rsidP="003E7A4E">
      <w:pPr>
        <w:numPr>
          <w:ilvl w:val="1"/>
          <w:numId w:val="3"/>
        </w:numPr>
        <w:spacing w:line="360" w:lineRule="auto"/>
        <w:jc w:val="both"/>
        <w:rPr>
          <w:rFonts w:ascii="Verdana" w:hAnsi="Verdana"/>
          <w:lang w:val="ro-RO"/>
        </w:rPr>
      </w:pPr>
      <w:r w:rsidRPr="005B004B">
        <w:rPr>
          <w:rFonts w:ascii="Verdana" w:hAnsi="Verdana"/>
          <w:lang w:val="ro-RO"/>
        </w:rPr>
        <w:t>pacienţi cu HTA gradul 3 şi unul sau mai mulţi factori de risc asociaţi</w:t>
      </w:r>
    </w:p>
    <w:p w:rsidR="003E7A4E" w:rsidRPr="005B004B" w:rsidRDefault="003E7A4E" w:rsidP="003E7A4E">
      <w:pPr>
        <w:numPr>
          <w:ilvl w:val="1"/>
          <w:numId w:val="3"/>
        </w:numPr>
        <w:spacing w:line="360" w:lineRule="auto"/>
        <w:jc w:val="both"/>
        <w:rPr>
          <w:rFonts w:ascii="Verdana" w:hAnsi="Verdana"/>
          <w:lang w:val="ro-RO"/>
        </w:rPr>
      </w:pPr>
      <w:r w:rsidRPr="005B004B">
        <w:rPr>
          <w:rFonts w:ascii="Verdana" w:hAnsi="Verdana"/>
          <w:lang w:val="ro-RO"/>
        </w:rPr>
        <w:t>toţi pacienţii cu BCV clinic manifestă sau boală renală</w:t>
      </w:r>
    </w:p>
    <w:p w:rsidR="003E7A4E" w:rsidRPr="005B004B" w:rsidRDefault="003E7A4E" w:rsidP="003E7A4E">
      <w:pPr>
        <w:numPr>
          <w:ilvl w:val="1"/>
          <w:numId w:val="3"/>
        </w:numPr>
        <w:spacing w:line="360" w:lineRule="auto"/>
        <w:jc w:val="both"/>
        <w:rPr>
          <w:rFonts w:ascii="Verdana" w:hAnsi="Verdana"/>
          <w:lang w:val="ro-RO"/>
        </w:rPr>
      </w:pPr>
      <w:r w:rsidRPr="005B004B">
        <w:rPr>
          <w:rFonts w:ascii="Verdana" w:hAnsi="Verdana"/>
          <w:lang w:val="ro-RO"/>
        </w:rPr>
        <w:t>Risc de evenimente CV majore de circa ≥30% în 10 ani.</w:t>
      </w:r>
    </w:p>
    <w:p w:rsidR="003E7A4E" w:rsidRPr="005B004B" w:rsidRDefault="003E7A4E" w:rsidP="003E7A4E">
      <w:pPr>
        <w:spacing w:line="360" w:lineRule="auto"/>
        <w:ind w:left="1800"/>
        <w:jc w:val="both"/>
        <w:rPr>
          <w:rFonts w:ascii="Verdana" w:hAnsi="Verdana"/>
          <w:lang w:val="ro-RO"/>
        </w:rPr>
      </w:pPr>
    </w:p>
    <w:p w:rsidR="003E7A4E" w:rsidRDefault="003E7A4E" w:rsidP="005F402D">
      <w:pPr>
        <w:numPr>
          <w:ilvl w:val="0"/>
          <w:numId w:val="46"/>
        </w:numPr>
        <w:tabs>
          <w:tab w:val="num" w:pos="1080"/>
        </w:tabs>
        <w:spacing w:line="360" w:lineRule="auto"/>
        <w:jc w:val="both"/>
        <w:rPr>
          <w:rFonts w:ascii="Verdana" w:hAnsi="Verdana"/>
          <w:b/>
          <w:lang w:val="ro-RO"/>
        </w:rPr>
      </w:pPr>
      <w:r w:rsidRPr="005B004B">
        <w:rPr>
          <w:rFonts w:ascii="Verdana" w:hAnsi="Verdana"/>
          <w:b/>
          <w:lang w:val="ro-RO"/>
        </w:rPr>
        <w:t>Situaţia Campaniilor IEC la nivel naţional</w:t>
      </w:r>
    </w:p>
    <w:p w:rsidR="00827EF3" w:rsidRPr="005B004B" w:rsidRDefault="00827EF3" w:rsidP="00827EF3">
      <w:pPr>
        <w:tabs>
          <w:tab w:val="num" w:pos="1080"/>
        </w:tabs>
        <w:spacing w:line="360" w:lineRule="auto"/>
        <w:ind w:left="360"/>
        <w:jc w:val="both"/>
        <w:rPr>
          <w:rFonts w:ascii="Verdana" w:hAnsi="Verdana"/>
          <w:b/>
          <w:lang w:val="ro-RO"/>
        </w:rPr>
      </w:pPr>
    </w:p>
    <w:p w:rsidR="00710C87" w:rsidRPr="00C92F1E" w:rsidRDefault="003E7A4E" w:rsidP="000B4DAA">
      <w:pPr>
        <w:numPr>
          <w:ilvl w:val="1"/>
          <w:numId w:val="46"/>
        </w:numPr>
        <w:spacing w:line="360" w:lineRule="auto"/>
        <w:jc w:val="both"/>
        <w:rPr>
          <w:rFonts w:ascii="Verdana" w:hAnsi="Verdana"/>
          <w:b/>
          <w:i/>
          <w:lang w:val="ro-RO"/>
        </w:rPr>
      </w:pPr>
      <w:r w:rsidRPr="005B004B">
        <w:rPr>
          <w:rFonts w:ascii="Verdana" w:hAnsi="Verdana"/>
          <w:lang w:val="ro-RO"/>
        </w:rPr>
        <w:t>CRSP Cluj</w:t>
      </w:r>
      <w:r w:rsidR="000B4DAA">
        <w:rPr>
          <w:rFonts w:ascii="Verdana" w:hAnsi="Verdana"/>
          <w:lang w:val="ro-RO"/>
        </w:rPr>
        <w:t xml:space="preserve"> </w:t>
      </w:r>
      <w:r w:rsidRPr="005B004B">
        <w:rPr>
          <w:rFonts w:ascii="Verdana" w:hAnsi="Verdana"/>
          <w:lang w:val="ro-RO"/>
        </w:rPr>
        <w:t>- 17. 05. 2010 – 17.06.2010</w:t>
      </w:r>
      <w:r w:rsidR="000B4DAA">
        <w:rPr>
          <w:rFonts w:ascii="Verdana" w:hAnsi="Verdana"/>
          <w:lang w:val="ro-RO"/>
        </w:rPr>
        <w:t xml:space="preserve">. </w:t>
      </w:r>
      <w:r w:rsidRPr="005B004B">
        <w:rPr>
          <w:rFonts w:ascii="Verdana" w:hAnsi="Verdana"/>
          <w:lang w:val="ro-RO"/>
        </w:rPr>
        <w:t xml:space="preserve">Campania cu tema – </w:t>
      </w:r>
      <w:r w:rsidRPr="00C92F1E">
        <w:rPr>
          <w:rFonts w:ascii="Verdana" w:hAnsi="Verdana"/>
          <w:b/>
          <w:i/>
          <w:lang w:val="ro-RO"/>
        </w:rPr>
        <w:t>“Greutate normală, tensiune arterială normală”</w:t>
      </w:r>
    </w:p>
    <w:p w:rsidR="000B4DAA" w:rsidRPr="00C92F1E" w:rsidRDefault="000B4DAA" w:rsidP="000B4DAA">
      <w:pPr>
        <w:numPr>
          <w:ilvl w:val="1"/>
          <w:numId w:val="46"/>
        </w:numPr>
        <w:spacing w:line="360" w:lineRule="auto"/>
        <w:jc w:val="both"/>
        <w:rPr>
          <w:rFonts w:ascii="Verdana" w:hAnsi="Verdana"/>
          <w:b/>
          <w:i/>
          <w:lang w:val="ro-RO"/>
        </w:rPr>
      </w:pPr>
      <w:r w:rsidRPr="005B004B">
        <w:rPr>
          <w:rFonts w:ascii="Verdana" w:hAnsi="Verdana"/>
          <w:lang w:val="ro-RO"/>
        </w:rPr>
        <w:t>CRSP Cluj</w:t>
      </w:r>
      <w:r>
        <w:rPr>
          <w:rFonts w:ascii="Verdana" w:hAnsi="Verdana"/>
          <w:lang w:val="ro-RO"/>
        </w:rPr>
        <w:t xml:space="preserve"> 17.05.2011 – 31.05.2011. </w:t>
      </w:r>
      <w:r w:rsidRPr="005B004B">
        <w:rPr>
          <w:rFonts w:ascii="Verdana" w:hAnsi="Verdana"/>
          <w:lang w:val="ro-RO"/>
        </w:rPr>
        <w:t>Campania cu tema –</w:t>
      </w:r>
      <w:r>
        <w:rPr>
          <w:rFonts w:ascii="Verdana" w:hAnsi="Verdana"/>
          <w:lang w:val="ro-RO"/>
        </w:rPr>
        <w:t xml:space="preserve"> </w:t>
      </w:r>
      <w:r w:rsidRPr="00C92F1E">
        <w:rPr>
          <w:rFonts w:ascii="Verdana" w:hAnsi="Verdana"/>
          <w:b/>
          <w:i/>
          <w:lang w:val="ro-RO"/>
        </w:rPr>
        <w:t xml:space="preserve">„Cunoaşte-ţi valorile, ţinteşte o tensiune arterială normală” </w:t>
      </w:r>
    </w:p>
    <w:p w:rsidR="003538FC" w:rsidRPr="003C1AFC" w:rsidRDefault="003538FC" w:rsidP="000B4DAA">
      <w:pPr>
        <w:numPr>
          <w:ilvl w:val="1"/>
          <w:numId w:val="46"/>
        </w:numPr>
        <w:spacing w:line="360" w:lineRule="auto"/>
        <w:jc w:val="both"/>
        <w:rPr>
          <w:rFonts w:ascii="Verdana" w:hAnsi="Verdana"/>
          <w:lang w:val="ro-RO"/>
        </w:rPr>
      </w:pPr>
      <w:r w:rsidRPr="005B004B">
        <w:rPr>
          <w:rFonts w:ascii="Verdana" w:hAnsi="Verdana"/>
          <w:lang w:val="ro-RO"/>
        </w:rPr>
        <w:t>CRSP Cluj</w:t>
      </w:r>
      <w:r>
        <w:rPr>
          <w:rFonts w:ascii="Verdana" w:hAnsi="Verdana"/>
          <w:lang w:val="ro-RO"/>
        </w:rPr>
        <w:t xml:space="preserve"> 17.05.2012 – 30.05.2012. </w:t>
      </w:r>
      <w:r w:rsidRPr="005B004B">
        <w:rPr>
          <w:rFonts w:ascii="Verdana" w:hAnsi="Verdana"/>
          <w:lang w:val="ro-RO"/>
        </w:rPr>
        <w:t>Campania cu tema –</w:t>
      </w:r>
      <w:r>
        <w:rPr>
          <w:rFonts w:ascii="Verdana" w:hAnsi="Verdana"/>
          <w:lang w:val="ro-RO"/>
        </w:rPr>
        <w:t xml:space="preserve"> </w:t>
      </w:r>
      <w:r w:rsidRPr="00C92F1E">
        <w:rPr>
          <w:rFonts w:ascii="Verdana" w:hAnsi="Verdana"/>
          <w:b/>
          <w:i/>
          <w:lang w:val="ro-RO"/>
        </w:rPr>
        <w:t>„Un stil de viaţă sănătos, o tensiune arterială normală”</w:t>
      </w:r>
    </w:p>
    <w:p w:rsidR="003C1AFC" w:rsidRPr="003C1AFC" w:rsidRDefault="003C1AFC" w:rsidP="000B4DAA">
      <w:pPr>
        <w:numPr>
          <w:ilvl w:val="1"/>
          <w:numId w:val="46"/>
        </w:numPr>
        <w:spacing w:line="360" w:lineRule="auto"/>
        <w:jc w:val="both"/>
        <w:rPr>
          <w:rFonts w:ascii="Verdana" w:hAnsi="Verdana"/>
          <w:b/>
          <w:i/>
          <w:lang w:val="ro-RO"/>
        </w:rPr>
      </w:pPr>
      <w:r w:rsidRPr="005B004B">
        <w:rPr>
          <w:rFonts w:ascii="Verdana" w:hAnsi="Verdana"/>
          <w:lang w:val="ro-RO"/>
        </w:rPr>
        <w:t>CRSP Cluj</w:t>
      </w:r>
      <w:r>
        <w:rPr>
          <w:rFonts w:ascii="Verdana" w:hAnsi="Verdana"/>
          <w:lang w:val="ro-RO"/>
        </w:rPr>
        <w:t xml:space="preserve"> 17.05.2014</w:t>
      </w:r>
      <w:r w:rsidR="00C45CA5">
        <w:rPr>
          <w:rFonts w:ascii="Verdana" w:hAnsi="Verdana"/>
          <w:lang w:val="ro-RO"/>
        </w:rPr>
        <w:t xml:space="preserve">. </w:t>
      </w:r>
      <w:r w:rsidR="00C45CA5" w:rsidRPr="005B004B">
        <w:rPr>
          <w:rFonts w:ascii="Verdana" w:hAnsi="Verdana"/>
          <w:lang w:val="ro-RO"/>
        </w:rPr>
        <w:t>Campania cu tema</w:t>
      </w:r>
      <w:r>
        <w:rPr>
          <w:rFonts w:ascii="Verdana" w:hAnsi="Verdana"/>
          <w:lang w:val="ro-RO"/>
        </w:rPr>
        <w:t xml:space="preserve"> - </w:t>
      </w:r>
      <w:r w:rsidRPr="003C1AFC">
        <w:rPr>
          <w:rFonts w:ascii="Verdana" w:hAnsi="Verdana"/>
          <w:b/>
          <w:i/>
        </w:rPr>
        <w:t>„</w:t>
      </w:r>
      <w:proofErr w:type="spellStart"/>
      <w:r w:rsidRPr="003C1AFC">
        <w:rPr>
          <w:rFonts w:ascii="Verdana" w:hAnsi="Verdana"/>
          <w:b/>
          <w:i/>
        </w:rPr>
        <w:t>Fii</w:t>
      </w:r>
      <w:proofErr w:type="spellEnd"/>
      <w:r w:rsidRPr="003C1AFC">
        <w:rPr>
          <w:rFonts w:ascii="Verdana" w:hAnsi="Verdana"/>
          <w:b/>
          <w:i/>
        </w:rPr>
        <w:t xml:space="preserve"> </w:t>
      </w:r>
      <w:proofErr w:type="spellStart"/>
      <w:r w:rsidRPr="003C1AFC">
        <w:rPr>
          <w:rFonts w:ascii="Verdana" w:hAnsi="Verdana"/>
          <w:b/>
          <w:i/>
        </w:rPr>
        <w:t>responsabil</w:t>
      </w:r>
      <w:proofErr w:type="spellEnd"/>
      <w:r w:rsidRPr="003C1AFC">
        <w:rPr>
          <w:rFonts w:ascii="Verdana" w:hAnsi="Verdana"/>
          <w:b/>
          <w:i/>
        </w:rPr>
        <w:t xml:space="preserve"> </w:t>
      </w:r>
      <w:proofErr w:type="spellStart"/>
      <w:r w:rsidRPr="003C1AFC">
        <w:rPr>
          <w:rFonts w:ascii="Verdana" w:hAnsi="Verdana"/>
          <w:b/>
          <w:i/>
        </w:rPr>
        <w:t>pentru</w:t>
      </w:r>
      <w:proofErr w:type="spellEnd"/>
      <w:r w:rsidRPr="003C1AFC">
        <w:rPr>
          <w:rFonts w:ascii="Verdana" w:hAnsi="Verdana"/>
          <w:b/>
          <w:i/>
        </w:rPr>
        <w:t xml:space="preserve"> </w:t>
      </w:r>
      <w:proofErr w:type="spellStart"/>
      <w:r w:rsidRPr="003C1AFC">
        <w:rPr>
          <w:rFonts w:ascii="Verdana" w:hAnsi="Verdana"/>
          <w:b/>
          <w:i/>
        </w:rPr>
        <w:t>sănătatea</w:t>
      </w:r>
      <w:proofErr w:type="spellEnd"/>
      <w:r w:rsidRPr="003C1AFC">
        <w:rPr>
          <w:rFonts w:ascii="Verdana" w:hAnsi="Verdana"/>
          <w:b/>
          <w:i/>
        </w:rPr>
        <w:t xml:space="preserve"> </w:t>
      </w:r>
      <w:proofErr w:type="spellStart"/>
      <w:r w:rsidRPr="003C1AFC">
        <w:rPr>
          <w:rFonts w:ascii="Verdana" w:hAnsi="Verdana"/>
          <w:b/>
          <w:i/>
        </w:rPr>
        <w:t>ta</w:t>
      </w:r>
      <w:proofErr w:type="spellEnd"/>
      <w:r w:rsidRPr="003C1AFC">
        <w:rPr>
          <w:rFonts w:ascii="Verdana" w:hAnsi="Verdana"/>
          <w:b/>
          <w:i/>
        </w:rPr>
        <w:t xml:space="preserve"> – </w:t>
      </w:r>
      <w:proofErr w:type="spellStart"/>
      <w:r w:rsidRPr="003C1AFC">
        <w:rPr>
          <w:rFonts w:ascii="Verdana" w:hAnsi="Verdana"/>
          <w:b/>
          <w:i/>
        </w:rPr>
        <w:t>măsoară-ţi</w:t>
      </w:r>
      <w:proofErr w:type="spellEnd"/>
      <w:r w:rsidRPr="003C1AFC">
        <w:rPr>
          <w:rFonts w:ascii="Verdana" w:hAnsi="Verdana"/>
          <w:b/>
          <w:i/>
        </w:rPr>
        <w:t xml:space="preserve"> </w:t>
      </w:r>
      <w:proofErr w:type="spellStart"/>
      <w:r w:rsidRPr="003C1AFC">
        <w:rPr>
          <w:rFonts w:ascii="Verdana" w:hAnsi="Verdana"/>
          <w:b/>
          <w:i/>
        </w:rPr>
        <w:t>tensiunea</w:t>
      </w:r>
      <w:proofErr w:type="spellEnd"/>
      <w:r w:rsidRPr="003C1AFC">
        <w:rPr>
          <w:rFonts w:ascii="Verdana" w:hAnsi="Verdana"/>
          <w:b/>
          <w:i/>
        </w:rPr>
        <w:t>!”</w:t>
      </w:r>
    </w:p>
    <w:sectPr w:rsidR="003C1AFC" w:rsidRPr="003C1AFC" w:rsidSect="004344AA">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A62" w:rsidRDefault="00892A62">
      <w:r>
        <w:separator/>
      </w:r>
    </w:p>
  </w:endnote>
  <w:endnote w:type="continuationSeparator" w:id="1">
    <w:p w:rsidR="00892A62" w:rsidRDefault="00892A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dvOTb7819099">
    <w:panose1 w:val="00000000000000000000"/>
    <w:charset w:val="00"/>
    <w:family w:val="swiss"/>
    <w:notTrueType/>
    <w:pitch w:val="default"/>
    <w:sig w:usb0="00000003" w:usb1="00000000" w:usb2="00000000" w:usb3="00000000" w:csb0="00000001" w:csb1="00000000"/>
  </w:font>
  <w:font w:name="Minion-Black">
    <w:panose1 w:val="00000000000000000000"/>
    <w:charset w:val="00"/>
    <w:family w:val="roman"/>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AdvOT9069d8b3.B">
    <w:panose1 w:val="00000000000000000000"/>
    <w:charset w:val="00"/>
    <w:family w:val="swiss"/>
    <w:notTrueType/>
    <w:pitch w:val="default"/>
    <w:sig w:usb0="00000003" w:usb1="00000000" w:usb2="00000000" w:usb3="00000000" w:csb0="00000001" w:csb1="00000000"/>
  </w:font>
  <w:font w:name="OptimaLTStd-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dvP418142">
    <w:panose1 w:val="00000000000000000000"/>
    <w:charset w:val="00"/>
    <w:family w:val="swiss"/>
    <w:notTrueType/>
    <w:pitch w:val="default"/>
    <w:sig w:usb0="00000003" w:usb1="00000000" w:usb2="00000000" w:usb3="00000000" w:csb0="00000001" w:csb1="00000000"/>
  </w:font>
  <w:font w:name="AdvP405AA6">
    <w:panose1 w:val="00000000000000000000"/>
    <w:charset w:val="00"/>
    <w:family w:val="swiss"/>
    <w:notTrueType/>
    <w:pitch w:val="default"/>
    <w:sig w:usb0="00000003" w:usb1="00000000" w:usb2="00000000" w:usb3="00000000" w:csb0="00000001" w:csb1="00000000"/>
  </w:font>
  <w:font w:name="AdvP410358">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A62" w:rsidRDefault="00892A62">
      <w:r>
        <w:separator/>
      </w:r>
    </w:p>
  </w:footnote>
  <w:footnote w:type="continuationSeparator" w:id="1">
    <w:p w:rsidR="00892A62" w:rsidRDefault="00892A62">
      <w:r>
        <w:continuationSeparator/>
      </w:r>
    </w:p>
  </w:footnote>
  <w:footnote w:id="2">
    <w:p w:rsidR="00237DB9" w:rsidRPr="004050AE" w:rsidRDefault="00237DB9" w:rsidP="00B555EA">
      <w:pPr>
        <w:pStyle w:val="FootnoteText"/>
        <w:jc w:val="both"/>
        <w:rPr>
          <w:rFonts w:ascii="Verdana" w:hAnsi="Verdana"/>
        </w:rPr>
      </w:pPr>
      <w:r w:rsidRPr="004050AE">
        <w:rPr>
          <w:rStyle w:val="FootnoteReference"/>
          <w:vertAlign w:val="baseline"/>
        </w:rPr>
        <w:footnoteRef/>
      </w:r>
      <w:r w:rsidRPr="004050AE">
        <w:t xml:space="preserve"> </w:t>
      </w:r>
      <w:r w:rsidRPr="004050AE">
        <w:rPr>
          <w:rFonts w:ascii="Verdana" w:hAnsi="Verdana"/>
        </w:rPr>
        <w:t xml:space="preserve">Lim SS, </w:t>
      </w:r>
      <w:proofErr w:type="spellStart"/>
      <w:r w:rsidRPr="004050AE">
        <w:rPr>
          <w:rFonts w:ascii="Verdana" w:hAnsi="Verdana"/>
        </w:rPr>
        <w:t>Vos</w:t>
      </w:r>
      <w:proofErr w:type="spellEnd"/>
      <w:r w:rsidRPr="004050AE">
        <w:rPr>
          <w:rFonts w:ascii="Verdana" w:hAnsi="Verdana"/>
        </w:rPr>
        <w:t xml:space="preserve"> T, Flaxman AD, </w:t>
      </w:r>
      <w:proofErr w:type="spellStart"/>
      <w:r w:rsidRPr="004050AE">
        <w:rPr>
          <w:rFonts w:ascii="Verdana" w:hAnsi="Verdana"/>
        </w:rPr>
        <w:t>Danaei</w:t>
      </w:r>
      <w:proofErr w:type="spellEnd"/>
      <w:r w:rsidRPr="004050AE">
        <w:rPr>
          <w:rFonts w:ascii="Verdana" w:hAnsi="Verdana"/>
        </w:rPr>
        <w:t xml:space="preserve"> G, Shibuya K, Adair-</w:t>
      </w:r>
      <w:proofErr w:type="spellStart"/>
      <w:r w:rsidRPr="004050AE">
        <w:rPr>
          <w:rFonts w:ascii="Verdana" w:hAnsi="Verdana"/>
        </w:rPr>
        <w:t>Rohani</w:t>
      </w:r>
      <w:proofErr w:type="spellEnd"/>
      <w:r w:rsidRPr="004050AE">
        <w:rPr>
          <w:rFonts w:ascii="Verdana" w:hAnsi="Verdana"/>
        </w:rPr>
        <w:t xml:space="preserve"> H et al. A comparative risk assessment of burden of disease and injury attributable to 67 risk factors and risk factor clusters in 21 regions, 1990-2010: a systematic analysis for the Global Burden of Disease Study 2010. Lancet 2013; 380(9859):2224-2260.</w:t>
      </w:r>
    </w:p>
  </w:footnote>
  <w:footnote w:id="3">
    <w:p w:rsidR="00237DB9" w:rsidRPr="004050AE" w:rsidRDefault="00237DB9" w:rsidP="00B555EA">
      <w:pPr>
        <w:pStyle w:val="FootnoteText"/>
        <w:jc w:val="both"/>
        <w:rPr>
          <w:rFonts w:ascii="Verdana" w:hAnsi="Verdana"/>
        </w:rPr>
      </w:pPr>
      <w:r w:rsidRPr="004050AE">
        <w:rPr>
          <w:rStyle w:val="FootnoteReference"/>
          <w:rFonts w:ascii="Verdana" w:hAnsi="Verdana"/>
          <w:vertAlign w:val="baseline"/>
        </w:rPr>
        <w:footnoteRef/>
      </w:r>
      <w:r w:rsidRPr="004050AE">
        <w:rPr>
          <w:rFonts w:ascii="Verdana" w:hAnsi="Verdana"/>
        </w:rPr>
        <w:t xml:space="preserve"> </w:t>
      </w:r>
      <w:proofErr w:type="gramStart"/>
      <w:r w:rsidRPr="004050AE">
        <w:rPr>
          <w:rFonts w:ascii="Verdana" w:hAnsi="Verdana"/>
        </w:rPr>
        <w:t>World Health Organization.</w:t>
      </w:r>
      <w:proofErr w:type="gramEnd"/>
      <w:r w:rsidRPr="004050AE">
        <w:rPr>
          <w:rFonts w:ascii="Verdana" w:hAnsi="Verdana"/>
        </w:rPr>
        <w:t xml:space="preserve"> A global brief on hypertension: silent killer, global public health crisis. </w:t>
      </w:r>
      <w:proofErr w:type="gramStart"/>
      <w:r w:rsidRPr="004050AE">
        <w:rPr>
          <w:rFonts w:ascii="Verdana" w:hAnsi="Verdana"/>
        </w:rPr>
        <w:t>World Health Day 2013.</w:t>
      </w:r>
      <w:proofErr w:type="gramEnd"/>
      <w:r w:rsidRPr="004050AE">
        <w:rPr>
          <w:rFonts w:ascii="Verdana" w:hAnsi="Verdana"/>
        </w:rPr>
        <w:t xml:space="preserve"> Report, 1-39. 2013. </w:t>
      </w:r>
      <w:smartTag w:uri="urn:schemas-microsoft-com:office:smarttags" w:element="place">
        <w:smartTag w:uri="urn:schemas-microsoft-com:office:smarttags" w:element="City">
          <w:r w:rsidRPr="004050AE">
            <w:rPr>
              <w:rFonts w:ascii="Verdana" w:hAnsi="Verdana"/>
            </w:rPr>
            <w:t>Geneva</w:t>
          </w:r>
        </w:smartTag>
        <w:r w:rsidRPr="004050AE">
          <w:rPr>
            <w:rFonts w:ascii="Verdana" w:hAnsi="Verdana"/>
          </w:rPr>
          <w:t xml:space="preserve">, </w:t>
        </w:r>
        <w:smartTag w:uri="urn:schemas-microsoft-com:office:smarttags" w:element="country-region">
          <w:r w:rsidRPr="004050AE">
            <w:rPr>
              <w:rFonts w:ascii="Verdana" w:hAnsi="Verdana"/>
            </w:rPr>
            <w:t>Switzerland</w:t>
          </w:r>
        </w:smartTag>
      </w:smartTag>
      <w:r w:rsidRPr="004050AE">
        <w:rPr>
          <w:rFonts w:ascii="Verdana" w:hAnsi="Verdana"/>
        </w:rPr>
        <w:t xml:space="preserve">, World Health Organization. </w:t>
      </w:r>
    </w:p>
  </w:footnote>
  <w:footnote w:id="4">
    <w:p w:rsidR="00237DB9" w:rsidRPr="004050AE" w:rsidRDefault="00237DB9" w:rsidP="00B555EA">
      <w:pPr>
        <w:pStyle w:val="FootnoteText"/>
        <w:jc w:val="both"/>
        <w:rPr>
          <w:rFonts w:ascii="Verdana" w:hAnsi="Verdana"/>
        </w:rPr>
      </w:pPr>
      <w:r w:rsidRPr="004050AE">
        <w:rPr>
          <w:rStyle w:val="FootnoteReference"/>
          <w:rFonts w:ascii="Verdana" w:hAnsi="Verdana"/>
          <w:vertAlign w:val="baseline"/>
        </w:rPr>
        <w:footnoteRef/>
      </w:r>
      <w:r w:rsidRPr="004050AE">
        <w:rPr>
          <w:rFonts w:ascii="Verdana" w:hAnsi="Verdana"/>
        </w:rPr>
        <w:t xml:space="preserve"> Levy D, Larson MG, </w:t>
      </w:r>
      <w:proofErr w:type="spellStart"/>
      <w:r w:rsidRPr="004050AE">
        <w:rPr>
          <w:rFonts w:ascii="Verdana" w:hAnsi="Verdana"/>
        </w:rPr>
        <w:t>Vasan</w:t>
      </w:r>
      <w:proofErr w:type="spellEnd"/>
      <w:r w:rsidRPr="004050AE">
        <w:rPr>
          <w:rFonts w:ascii="Verdana" w:hAnsi="Verdana"/>
        </w:rPr>
        <w:t xml:space="preserve"> RS, </w:t>
      </w:r>
      <w:proofErr w:type="spellStart"/>
      <w:r w:rsidRPr="004050AE">
        <w:rPr>
          <w:rFonts w:ascii="Verdana" w:hAnsi="Verdana"/>
        </w:rPr>
        <w:t>Kannel</w:t>
      </w:r>
      <w:proofErr w:type="spellEnd"/>
      <w:r w:rsidRPr="004050AE">
        <w:rPr>
          <w:rFonts w:ascii="Verdana" w:hAnsi="Verdana"/>
        </w:rPr>
        <w:t xml:space="preserve"> WB, Ho KKL. The Progression </w:t>
      </w:r>
      <w:proofErr w:type="gramStart"/>
      <w:r w:rsidRPr="004050AE">
        <w:rPr>
          <w:rFonts w:ascii="Verdana" w:hAnsi="Verdana"/>
        </w:rPr>
        <w:t>From</w:t>
      </w:r>
      <w:proofErr w:type="gramEnd"/>
      <w:r w:rsidRPr="004050AE">
        <w:rPr>
          <w:rFonts w:ascii="Verdana" w:hAnsi="Verdana"/>
        </w:rPr>
        <w:t xml:space="preserve"> Hypertension to Congestive Heart Failure. JAMA 1996; 275(20):1557-1562. </w:t>
      </w:r>
    </w:p>
  </w:footnote>
  <w:footnote w:id="5">
    <w:p w:rsidR="00237DB9" w:rsidRPr="004050AE" w:rsidRDefault="00237DB9" w:rsidP="00B555EA">
      <w:pPr>
        <w:pStyle w:val="FootnoteText"/>
        <w:jc w:val="both"/>
        <w:rPr>
          <w:rFonts w:ascii="Verdana" w:hAnsi="Verdana"/>
        </w:rPr>
      </w:pPr>
      <w:r w:rsidRPr="004050AE">
        <w:rPr>
          <w:rStyle w:val="FootnoteReference"/>
          <w:rFonts w:ascii="Verdana" w:hAnsi="Verdana"/>
          <w:vertAlign w:val="baseline"/>
        </w:rPr>
        <w:footnoteRef/>
      </w:r>
      <w:r w:rsidRPr="004050AE">
        <w:rPr>
          <w:rFonts w:ascii="Verdana" w:hAnsi="Verdana"/>
        </w:rPr>
        <w:t xml:space="preserve"> </w:t>
      </w:r>
      <w:proofErr w:type="gramStart"/>
      <w:r w:rsidRPr="004050AE">
        <w:rPr>
          <w:rFonts w:ascii="Verdana" w:hAnsi="Verdana"/>
        </w:rPr>
        <w:t xml:space="preserve">Chen G, McAlister FA, Walker RL, </w:t>
      </w:r>
      <w:proofErr w:type="spellStart"/>
      <w:r w:rsidRPr="004050AE">
        <w:rPr>
          <w:rFonts w:ascii="Verdana" w:hAnsi="Verdana"/>
        </w:rPr>
        <w:t>Hemmelgarn</w:t>
      </w:r>
      <w:proofErr w:type="spellEnd"/>
      <w:r w:rsidRPr="004050AE">
        <w:rPr>
          <w:rFonts w:ascii="Verdana" w:hAnsi="Verdana"/>
        </w:rPr>
        <w:t xml:space="preserve"> BR, Campbell NR.</w:t>
      </w:r>
      <w:proofErr w:type="gramEnd"/>
      <w:r w:rsidRPr="004050AE">
        <w:rPr>
          <w:rFonts w:ascii="Verdana" w:hAnsi="Verdana"/>
        </w:rPr>
        <w:t xml:space="preserve"> Cardiovascular outcomes in </w:t>
      </w:r>
      <w:smartTag w:uri="urn:schemas-microsoft-com:office:smarttags" w:element="City">
        <w:smartTag w:uri="urn:schemas-microsoft-com:office:smarttags" w:element="place">
          <w:r w:rsidRPr="004050AE">
            <w:rPr>
              <w:rFonts w:ascii="Verdana" w:hAnsi="Verdana"/>
            </w:rPr>
            <w:t>Framingham</w:t>
          </w:r>
        </w:smartTag>
      </w:smartTag>
      <w:r w:rsidRPr="004050AE">
        <w:rPr>
          <w:rFonts w:ascii="Verdana" w:hAnsi="Verdana"/>
        </w:rPr>
        <w:t xml:space="preserve"> participants with diabetes: the importance of blood pressure. Hypertension 2011; 57(5):891-897. </w:t>
      </w:r>
    </w:p>
  </w:footnote>
  <w:footnote w:id="6">
    <w:p w:rsidR="00237DB9" w:rsidRPr="004050AE" w:rsidRDefault="00237DB9" w:rsidP="00B555EA">
      <w:pPr>
        <w:pStyle w:val="FootnoteText"/>
        <w:jc w:val="both"/>
        <w:rPr>
          <w:rFonts w:ascii="Verdana" w:hAnsi="Verdana"/>
        </w:rPr>
      </w:pPr>
      <w:r w:rsidRPr="004050AE">
        <w:rPr>
          <w:rStyle w:val="FootnoteReference"/>
          <w:rFonts w:ascii="Verdana" w:hAnsi="Verdana"/>
          <w:vertAlign w:val="baseline"/>
        </w:rPr>
        <w:footnoteRef/>
      </w:r>
      <w:r w:rsidRPr="004050AE">
        <w:rPr>
          <w:rFonts w:ascii="Verdana" w:hAnsi="Verdana"/>
        </w:rPr>
        <w:t xml:space="preserve"> </w:t>
      </w:r>
      <w:smartTag w:uri="urn:schemas-microsoft-com:office:smarttags" w:element="place">
        <w:smartTag w:uri="urn:schemas-microsoft-com:office:smarttags" w:element="City">
          <w:r w:rsidRPr="004050AE">
            <w:rPr>
              <w:rFonts w:ascii="Verdana" w:hAnsi="Verdana"/>
            </w:rPr>
            <w:t>Khan</w:t>
          </w:r>
        </w:smartTag>
        <w:r w:rsidRPr="004050AE">
          <w:rPr>
            <w:rFonts w:ascii="Verdana" w:hAnsi="Verdana"/>
          </w:rPr>
          <w:t xml:space="preserve"> </w:t>
        </w:r>
        <w:smartTag w:uri="urn:schemas-microsoft-com:office:smarttags" w:element="State">
          <w:r w:rsidRPr="004050AE">
            <w:rPr>
              <w:rFonts w:ascii="Verdana" w:hAnsi="Verdana"/>
            </w:rPr>
            <w:t>KS</w:t>
          </w:r>
        </w:smartTag>
      </w:smartTag>
      <w:r w:rsidRPr="004050AE">
        <w:rPr>
          <w:rFonts w:ascii="Verdana" w:hAnsi="Verdana"/>
        </w:rPr>
        <w:t xml:space="preserve">, </w:t>
      </w:r>
      <w:proofErr w:type="spellStart"/>
      <w:r w:rsidRPr="004050AE">
        <w:rPr>
          <w:rFonts w:ascii="Verdana" w:hAnsi="Verdana"/>
        </w:rPr>
        <w:t>Wojdyla</w:t>
      </w:r>
      <w:proofErr w:type="spellEnd"/>
      <w:r w:rsidRPr="004050AE">
        <w:rPr>
          <w:rFonts w:ascii="Verdana" w:hAnsi="Verdana"/>
        </w:rPr>
        <w:t xml:space="preserve"> D, Say L, </w:t>
      </w:r>
      <w:proofErr w:type="spellStart"/>
      <w:r w:rsidRPr="004050AE">
        <w:rPr>
          <w:rFonts w:ascii="Verdana" w:hAnsi="Verdana"/>
        </w:rPr>
        <w:t>Gulmezoglu</w:t>
      </w:r>
      <w:proofErr w:type="spellEnd"/>
      <w:r w:rsidRPr="004050AE">
        <w:rPr>
          <w:rFonts w:ascii="Verdana" w:hAnsi="Verdana"/>
        </w:rPr>
        <w:t xml:space="preserve"> AM, Van Look PFA. WHO analysis of causes of maternal death: a systematic review. Lancet 2006; 367(9516):1066-1074.</w:t>
      </w:r>
    </w:p>
  </w:footnote>
  <w:footnote w:id="7">
    <w:p w:rsidR="00237DB9" w:rsidRPr="00B555EA" w:rsidRDefault="00237DB9" w:rsidP="00B555EA">
      <w:pPr>
        <w:pStyle w:val="FootnoteText"/>
        <w:jc w:val="both"/>
        <w:rPr>
          <w:rFonts w:ascii="Verdana" w:hAnsi="Verdana"/>
        </w:rPr>
      </w:pPr>
      <w:r w:rsidRPr="004050AE">
        <w:rPr>
          <w:rStyle w:val="FootnoteReference"/>
          <w:rFonts w:ascii="Verdana" w:hAnsi="Verdana"/>
          <w:vertAlign w:val="baseline"/>
        </w:rPr>
        <w:footnoteRef/>
      </w:r>
      <w:r w:rsidRPr="004050AE">
        <w:rPr>
          <w:rFonts w:ascii="Verdana" w:hAnsi="Verdana"/>
        </w:rPr>
        <w:t xml:space="preserve"> </w:t>
      </w:r>
      <w:proofErr w:type="spellStart"/>
      <w:r w:rsidRPr="004050AE">
        <w:rPr>
          <w:rFonts w:ascii="Verdana" w:hAnsi="Verdana"/>
        </w:rPr>
        <w:t>Seely</w:t>
      </w:r>
      <w:proofErr w:type="spellEnd"/>
      <w:r w:rsidRPr="00B555EA">
        <w:rPr>
          <w:rFonts w:ascii="Verdana" w:hAnsi="Verdana"/>
        </w:rPr>
        <w:t xml:space="preserve"> EW, Maxwell C. Cardiology Patient Page. </w:t>
      </w:r>
      <w:proofErr w:type="gramStart"/>
      <w:r w:rsidRPr="00B555EA">
        <w:rPr>
          <w:rFonts w:ascii="Verdana" w:hAnsi="Verdana"/>
        </w:rPr>
        <w:t>Chronic Hypertension in Pregnancy.</w:t>
      </w:r>
      <w:proofErr w:type="gramEnd"/>
      <w:r w:rsidRPr="00B555EA">
        <w:rPr>
          <w:rFonts w:ascii="Verdana" w:hAnsi="Verdana"/>
        </w:rPr>
        <w:t xml:space="preserve"> Circulation 2007; 115(7):e188-e190. </w:t>
      </w:r>
      <w:r w:rsidRPr="00B555EA">
        <w:rPr>
          <w:rFonts w:ascii="Verdana" w:hAnsi="Verdana"/>
        </w:rPr>
        <w:cr/>
      </w:r>
    </w:p>
  </w:footnote>
  <w:footnote w:id="8">
    <w:p w:rsidR="00237DB9" w:rsidRPr="004050AE" w:rsidRDefault="00237DB9">
      <w:pPr>
        <w:pStyle w:val="FootnoteText"/>
      </w:pPr>
      <w:r w:rsidRPr="004050AE">
        <w:rPr>
          <w:rStyle w:val="FootnoteReference"/>
          <w:vertAlign w:val="baseline"/>
        </w:rPr>
        <w:footnoteRef/>
      </w:r>
      <w:r w:rsidRPr="004050AE">
        <w:t xml:space="preserve"> </w:t>
      </w:r>
      <w:r w:rsidRPr="004050AE">
        <w:rPr>
          <w:rFonts w:ascii="Verdana" w:hAnsi="Verdana"/>
        </w:rPr>
        <w:t xml:space="preserve">World Health Statistics 2012, </w:t>
      </w:r>
      <w:hyperlink r:id="rId1" w:history="1">
        <w:r w:rsidRPr="004050AE">
          <w:rPr>
            <w:rStyle w:val="Hyperlink"/>
            <w:rFonts w:ascii="Verdana" w:hAnsi="Verdana"/>
          </w:rPr>
          <w:t>www.who.int</w:t>
        </w:r>
      </w:hyperlink>
    </w:p>
  </w:footnote>
  <w:footnote w:id="9">
    <w:p w:rsidR="00237DB9" w:rsidRPr="004050AE" w:rsidRDefault="00237DB9">
      <w:pPr>
        <w:pStyle w:val="FootnoteText"/>
      </w:pPr>
      <w:r w:rsidRPr="004050AE">
        <w:rPr>
          <w:rStyle w:val="FootnoteReference"/>
          <w:vertAlign w:val="baseline"/>
        </w:rPr>
        <w:footnoteRef/>
      </w:r>
      <w:r w:rsidRPr="004050AE">
        <w:t xml:space="preserve"> </w:t>
      </w:r>
      <w:r w:rsidRPr="004050AE">
        <w:rPr>
          <w:rFonts w:ascii="Verdana" w:hAnsi="Verdana"/>
        </w:rPr>
        <w:t xml:space="preserve">Kearny PM, </w:t>
      </w:r>
      <w:proofErr w:type="spellStart"/>
      <w:r w:rsidRPr="004050AE">
        <w:rPr>
          <w:rFonts w:ascii="Verdana" w:hAnsi="Verdana"/>
        </w:rPr>
        <w:t>Whelton</w:t>
      </w:r>
      <w:proofErr w:type="spellEnd"/>
      <w:r w:rsidRPr="004050AE">
        <w:rPr>
          <w:rFonts w:ascii="Verdana" w:hAnsi="Verdana"/>
        </w:rPr>
        <w:t xml:space="preserve"> M, Reynolds K, </w:t>
      </w:r>
      <w:proofErr w:type="spellStart"/>
      <w:r w:rsidRPr="004050AE">
        <w:rPr>
          <w:rFonts w:ascii="Verdana" w:hAnsi="Verdana"/>
        </w:rPr>
        <w:t>Muntner</w:t>
      </w:r>
      <w:proofErr w:type="spellEnd"/>
      <w:r w:rsidRPr="004050AE">
        <w:rPr>
          <w:rFonts w:ascii="Verdana" w:hAnsi="Verdana"/>
        </w:rPr>
        <w:t xml:space="preserve"> P, </w:t>
      </w:r>
      <w:proofErr w:type="spellStart"/>
      <w:r w:rsidRPr="004050AE">
        <w:rPr>
          <w:rFonts w:ascii="Verdana" w:hAnsi="Verdana"/>
        </w:rPr>
        <w:t>Whelton</w:t>
      </w:r>
      <w:proofErr w:type="spellEnd"/>
      <w:r w:rsidRPr="004050AE">
        <w:rPr>
          <w:rFonts w:ascii="Verdana" w:hAnsi="Verdana"/>
        </w:rPr>
        <w:t xml:space="preserve"> PK, He J, Global burden of </w:t>
      </w:r>
      <w:proofErr w:type="spellStart"/>
      <w:r w:rsidRPr="004050AE">
        <w:rPr>
          <w:rFonts w:ascii="Verdana" w:hAnsi="Verdana"/>
        </w:rPr>
        <w:t>hypertension:analzsis</w:t>
      </w:r>
      <w:proofErr w:type="spellEnd"/>
      <w:r w:rsidRPr="004050AE">
        <w:rPr>
          <w:rFonts w:ascii="Verdana" w:hAnsi="Verdana"/>
        </w:rPr>
        <w:t xml:space="preserve"> of worldwide data”, Lancet, vol.365, no.9455, pp. 217-223, 2005</w:t>
      </w:r>
    </w:p>
  </w:footnote>
  <w:footnote w:id="10">
    <w:p w:rsidR="00237DB9" w:rsidRPr="004050AE" w:rsidRDefault="00237DB9">
      <w:pPr>
        <w:pStyle w:val="FootnoteText"/>
      </w:pPr>
      <w:r w:rsidRPr="004050AE">
        <w:rPr>
          <w:rStyle w:val="FootnoteReference"/>
          <w:vertAlign w:val="baseline"/>
        </w:rPr>
        <w:footnoteRef/>
      </w:r>
      <w:r w:rsidRPr="004050AE">
        <w:t xml:space="preserve"> </w:t>
      </w:r>
      <w:r w:rsidRPr="004050AE">
        <w:rPr>
          <w:rFonts w:ascii="Verdana" w:hAnsi="Verdana"/>
        </w:rPr>
        <w:t xml:space="preserve">WHO, Global status report on </w:t>
      </w:r>
      <w:proofErr w:type="spellStart"/>
      <w:r w:rsidRPr="004050AE">
        <w:rPr>
          <w:rFonts w:ascii="Verdana" w:hAnsi="Verdana"/>
        </w:rPr>
        <w:t>noncommunicable</w:t>
      </w:r>
      <w:proofErr w:type="spellEnd"/>
      <w:r w:rsidRPr="004050AE">
        <w:rPr>
          <w:rFonts w:ascii="Verdana" w:hAnsi="Verdana"/>
        </w:rPr>
        <w:t xml:space="preserve"> diseases 2010, www.who.int</w:t>
      </w:r>
    </w:p>
  </w:footnote>
  <w:footnote w:id="11">
    <w:p w:rsidR="00237DB9" w:rsidRPr="004050AE" w:rsidRDefault="00237DB9" w:rsidP="00B555EA">
      <w:pPr>
        <w:pStyle w:val="FootnoteText"/>
        <w:rPr>
          <w:rFonts w:ascii="Verdana" w:hAnsi="Verdana"/>
        </w:rPr>
      </w:pPr>
      <w:r w:rsidRPr="004050AE">
        <w:rPr>
          <w:rStyle w:val="FootnoteReference"/>
          <w:vertAlign w:val="baseline"/>
        </w:rPr>
        <w:footnoteRef/>
      </w:r>
      <w:r w:rsidRPr="004050AE">
        <w:t xml:space="preserve"> </w:t>
      </w:r>
      <w:proofErr w:type="spellStart"/>
      <w:r w:rsidRPr="004050AE">
        <w:rPr>
          <w:rFonts w:ascii="Verdana" w:hAnsi="Verdana"/>
        </w:rPr>
        <w:t>Gaziano</w:t>
      </w:r>
      <w:proofErr w:type="spellEnd"/>
      <w:r w:rsidRPr="004050AE">
        <w:rPr>
          <w:rFonts w:ascii="Verdana" w:hAnsi="Verdana"/>
        </w:rPr>
        <w:t xml:space="preserve"> TA, </w:t>
      </w:r>
      <w:proofErr w:type="spellStart"/>
      <w:r w:rsidRPr="004050AE">
        <w:rPr>
          <w:rFonts w:ascii="Verdana" w:hAnsi="Verdana"/>
        </w:rPr>
        <w:t>Bitton</w:t>
      </w:r>
      <w:proofErr w:type="spellEnd"/>
      <w:r w:rsidRPr="004050AE">
        <w:rPr>
          <w:rFonts w:ascii="Verdana" w:hAnsi="Verdana"/>
        </w:rPr>
        <w:t xml:space="preserve"> A, </w:t>
      </w:r>
      <w:proofErr w:type="spellStart"/>
      <w:r w:rsidRPr="004050AE">
        <w:rPr>
          <w:rFonts w:ascii="Verdana" w:hAnsi="Verdana"/>
        </w:rPr>
        <w:t>Anand</w:t>
      </w:r>
      <w:proofErr w:type="spellEnd"/>
      <w:r w:rsidRPr="004050AE">
        <w:rPr>
          <w:rFonts w:ascii="Verdana" w:hAnsi="Verdana"/>
        </w:rPr>
        <w:t xml:space="preserve"> S, Weinstein MC. </w:t>
      </w:r>
      <w:proofErr w:type="gramStart"/>
      <w:r w:rsidRPr="004050AE">
        <w:rPr>
          <w:rFonts w:ascii="Verdana" w:hAnsi="Verdana"/>
        </w:rPr>
        <w:t xml:space="preserve">The global cost of </w:t>
      </w:r>
      <w:proofErr w:type="spellStart"/>
      <w:r w:rsidRPr="004050AE">
        <w:rPr>
          <w:rFonts w:ascii="Verdana" w:hAnsi="Verdana"/>
        </w:rPr>
        <w:t>nonoptimal</w:t>
      </w:r>
      <w:proofErr w:type="spellEnd"/>
      <w:r w:rsidRPr="004050AE">
        <w:rPr>
          <w:rFonts w:ascii="Verdana" w:hAnsi="Verdana"/>
        </w:rPr>
        <w:t xml:space="preserve"> blood pressure.</w:t>
      </w:r>
      <w:proofErr w:type="gramEnd"/>
      <w:r w:rsidRPr="004050AE">
        <w:rPr>
          <w:rFonts w:ascii="Verdana" w:hAnsi="Verdana"/>
        </w:rPr>
        <w:t xml:space="preserve"> J </w:t>
      </w:r>
      <w:proofErr w:type="spellStart"/>
      <w:r w:rsidRPr="004050AE">
        <w:rPr>
          <w:rFonts w:ascii="Verdana" w:hAnsi="Verdana"/>
        </w:rPr>
        <w:t>Hypertens</w:t>
      </w:r>
      <w:proofErr w:type="spellEnd"/>
      <w:r w:rsidRPr="004050AE">
        <w:rPr>
          <w:rFonts w:ascii="Verdana" w:hAnsi="Verdana"/>
        </w:rPr>
        <w:t xml:space="preserve"> 2009; 27(7):1472-1477. </w:t>
      </w:r>
    </w:p>
  </w:footnote>
  <w:footnote w:id="12">
    <w:p w:rsidR="00237DB9" w:rsidRPr="001D4E55" w:rsidRDefault="00237DB9" w:rsidP="001D4E55">
      <w:pPr>
        <w:pStyle w:val="FootnoteText"/>
        <w:rPr>
          <w:rFonts w:ascii="Verdana" w:hAnsi="Verdana"/>
        </w:rPr>
      </w:pPr>
      <w:r w:rsidRPr="004050AE">
        <w:rPr>
          <w:rStyle w:val="FootnoteReference"/>
          <w:vertAlign w:val="baseline"/>
        </w:rPr>
        <w:footnoteRef/>
      </w:r>
      <w:r w:rsidRPr="004050AE">
        <w:t xml:space="preserve"> </w:t>
      </w:r>
      <w:proofErr w:type="gramStart"/>
      <w:r w:rsidRPr="004050AE">
        <w:rPr>
          <w:rFonts w:ascii="Verdana" w:hAnsi="Verdana"/>
        </w:rPr>
        <w:t xml:space="preserve">Committee on Public Health Priorities to Reduce and Control Hypertension in the </w:t>
      </w:r>
      <w:proofErr w:type="spellStart"/>
      <w:r w:rsidRPr="004050AE">
        <w:rPr>
          <w:rFonts w:ascii="Verdana" w:hAnsi="Verdana"/>
        </w:rPr>
        <w:t>U.S.Population</w:t>
      </w:r>
      <w:proofErr w:type="spellEnd"/>
      <w:r w:rsidRPr="004050AE">
        <w:rPr>
          <w:rFonts w:ascii="Verdana" w:hAnsi="Verdana"/>
        </w:rPr>
        <w:t xml:space="preserve">, </w:t>
      </w:r>
      <w:smartTag w:uri="urn:schemas-microsoft-com:office:smarttags" w:element="place">
        <w:smartTag w:uri="urn:schemas-microsoft-com:office:smarttags" w:element="PlaceType">
          <w:r w:rsidRPr="004050AE">
            <w:rPr>
              <w:rFonts w:ascii="Verdana" w:hAnsi="Verdana"/>
            </w:rPr>
            <w:t>Institute</w:t>
          </w:r>
        </w:smartTag>
        <w:r w:rsidRPr="004050AE">
          <w:rPr>
            <w:rFonts w:ascii="Verdana" w:hAnsi="Verdana"/>
          </w:rPr>
          <w:t xml:space="preserve"> of </w:t>
        </w:r>
        <w:smartTag w:uri="urn:schemas-microsoft-com:office:smarttags" w:element="PlaceName">
          <w:r w:rsidRPr="004050AE">
            <w:rPr>
              <w:rFonts w:ascii="Verdana" w:hAnsi="Verdana"/>
            </w:rPr>
            <w:t>Medicine</w:t>
          </w:r>
        </w:smartTag>
      </w:smartTag>
      <w:r w:rsidRPr="004050AE">
        <w:rPr>
          <w:rFonts w:ascii="Verdana" w:hAnsi="Verdana"/>
        </w:rPr>
        <w:t xml:space="preserve"> of the National Academies.</w:t>
      </w:r>
      <w:proofErr w:type="gramEnd"/>
      <w:r w:rsidRPr="004050AE">
        <w:rPr>
          <w:rFonts w:ascii="Verdana" w:hAnsi="Verdana"/>
        </w:rPr>
        <w:t xml:space="preserve"> A Population-Based Policy and Systems Change Approach to Prevent and Control Hypertension. </w:t>
      </w:r>
      <w:proofErr w:type="gramStart"/>
      <w:r w:rsidRPr="004050AE">
        <w:rPr>
          <w:rFonts w:ascii="Verdana" w:hAnsi="Verdana"/>
        </w:rPr>
        <w:t>Report</w:t>
      </w:r>
      <w:r w:rsidRPr="001D4E55">
        <w:rPr>
          <w:rFonts w:ascii="Verdana" w:hAnsi="Verdana"/>
        </w:rPr>
        <w:t xml:space="preserve"> ,</w:t>
      </w:r>
      <w:proofErr w:type="gramEnd"/>
      <w:r w:rsidRPr="001D4E55">
        <w:rPr>
          <w:rFonts w:ascii="Verdana" w:hAnsi="Verdana"/>
        </w:rPr>
        <w:t xml:space="preserve"> v-173. 2010.</w:t>
      </w:r>
    </w:p>
    <w:p w:rsidR="00237DB9" w:rsidRPr="004050AE" w:rsidRDefault="00237DB9" w:rsidP="001D4E55">
      <w:pPr>
        <w:pStyle w:val="FootnoteText"/>
      </w:pPr>
    </w:p>
  </w:footnote>
  <w:footnote w:id="13">
    <w:p w:rsidR="00237DB9" w:rsidRPr="004050AE" w:rsidRDefault="00237DB9" w:rsidP="009C291E">
      <w:pPr>
        <w:pStyle w:val="FootnoteText"/>
        <w:jc w:val="both"/>
        <w:rPr>
          <w:rFonts w:ascii="Verdana" w:hAnsi="Verdana"/>
        </w:rPr>
      </w:pPr>
      <w:r w:rsidRPr="004050AE">
        <w:rPr>
          <w:rStyle w:val="FootnoteReference"/>
          <w:vertAlign w:val="baseline"/>
        </w:rPr>
        <w:footnoteRef/>
      </w:r>
      <w:r w:rsidRPr="004050AE">
        <w:t xml:space="preserve"> </w:t>
      </w:r>
      <w:r w:rsidRPr="004050AE">
        <w:rPr>
          <w:rFonts w:ascii="Verdana" w:hAnsi="Verdana"/>
        </w:rPr>
        <w:t>DOROBANTU M, DARABONT RO, BADILA E, GHIORGHE S, Study for the Evaluation of Hypertension and Cardiovascular Risk in Adult Population in Romania - „Prevalence, Awareness, Treatment, and Control of Hypertension in Romania: Results of the SEPHAR Study International Journal of Hypertension, 2010</w:t>
      </w:r>
    </w:p>
  </w:footnote>
  <w:footnote w:id="14">
    <w:p w:rsidR="00237DB9" w:rsidRPr="004050AE" w:rsidRDefault="00237DB9" w:rsidP="00614C74">
      <w:pPr>
        <w:pStyle w:val="FootnoteText"/>
        <w:jc w:val="both"/>
        <w:rPr>
          <w:rFonts w:ascii="Verdana" w:hAnsi="Verdana"/>
          <w:lang w:val="ro-RO"/>
        </w:rPr>
      </w:pPr>
      <w:r w:rsidRPr="004050AE">
        <w:rPr>
          <w:rStyle w:val="FootnoteReference"/>
          <w:rFonts w:ascii="Verdana" w:hAnsi="Verdana"/>
          <w:vertAlign w:val="baseline"/>
        </w:rPr>
        <w:footnoteRef/>
      </w:r>
      <w:r w:rsidRPr="004050AE">
        <w:rPr>
          <w:rFonts w:ascii="Verdana" w:hAnsi="Verdana"/>
        </w:rPr>
        <w:t xml:space="preserve"> MARIA DOROBANŢU AND AL. Profile of the Romanian Hypertensive Patient Data from SEPHAR II Study, Rom J. Intern. Med., 2012, 50,4, 285-296</w:t>
      </w:r>
    </w:p>
  </w:footnote>
  <w:footnote w:id="15">
    <w:p w:rsidR="00237DB9" w:rsidRPr="004050AE" w:rsidRDefault="00237DB9" w:rsidP="00614C74">
      <w:pPr>
        <w:pStyle w:val="FootnoteText"/>
        <w:rPr>
          <w:rFonts w:ascii="Verdana" w:hAnsi="Verdana"/>
          <w:lang w:val="ro-RO"/>
        </w:rPr>
      </w:pPr>
      <w:r w:rsidRPr="004050AE">
        <w:rPr>
          <w:rStyle w:val="FootnoteReference"/>
          <w:rFonts w:ascii="Verdana" w:hAnsi="Verdana"/>
          <w:vertAlign w:val="baseline"/>
        </w:rPr>
        <w:footnoteRef/>
      </w:r>
      <w:r w:rsidRPr="004050AE">
        <w:rPr>
          <w:rFonts w:ascii="Verdana" w:hAnsi="Verdana"/>
          <w:lang w:val="ro-RO"/>
        </w:rPr>
        <w:t xml:space="preserve"> </w:t>
      </w:r>
      <w:r w:rsidRPr="004050AE">
        <w:rPr>
          <w:rFonts w:ascii="Verdana" w:hAnsi="Verdana"/>
          <w:lang w:val="ro-RO"/>
        </w:rPr>
        <w:t xml:space="preserve">ZDROJEWSKI T, SZPAKOWSKI P, BANDOSZ P, PAJAK A, WIECEK A, KRUPA-WOJCIECHOWSKA B, WYRZYKOWSKI B. Arterial hypertension in Poland in 2002. </w:t>
      </w:r>
      <w:r w:rsidRPr="004050AE">
        <w:rPr>
          <w:rFonts w:ascii="Verdana" w:hAnsi="Verdana"/>
          <w:lang w:val="de-DE"/>
        </w:rPr>
        <w:t xml:space="preserve">J Hum Hypertens. </w:t>
      </w:r>
      <w:r w:rsidRPr="004050AE">
        <w:rPr>
          <w:rFonts w:ascii="Verdana" w:hAnsi="Verdana"/>
        </w:rPr>
        <w:t>2004 Aug;18(8):557–62</w:t>
      </w:r>
    </w:p>
  </w:footnote>
  <w:footnote w:id="16">
    <w:p w:rsidR="00237DB9" w:rsidRPr="004050AE" w:rsidRDefault="00237DB9" w:rsidP="00614C74">
      <w:pPr>
        <w:pStyle w:val="FootnoteText"/>
        <w:rPr>
          <w:rFonts w:ascii="Verdana" w:hAnsi="Verdana"/>
          <w:lang w:val="ro-RO"/>
        </w:rPr>
      </w:pPr>
      <w:r w:rsidRPr="004050AE">
        <w:rPr>
          <w:rStyle w:val="FootnoteReference"/>
          <w:rFonts w:ascii="Verdana" w:hAnsi="Verdana"/>
          <w:vertAlign w:val="baseline"/>
        </w:rPr>
        <w:footnoteRef/>
      </w:r>
      <w:r w:rsidRPr="004050AE">
        <w:rPr>
          <w:rFonts w:ascii="Verdana" w:hAnsi="Verdana"/>
          <w:lang w:val="ro-RO"/>
        </w:rPr>
        <w:t xml:space="preserve"> </w:t>
      </w:r>
      <w:r w:rsidRPr="004050AE">
        <w:rPr>
          <w:rFonts w:ascii="Verdana" w:hAnsi="Verdana"/>
          <w:lang w:val="ro-RO"/>
        </w:rPr>
        <w:t xml:space="preserve">JELAKOVIĆ B, DIKA Z, KOS J, PEĆIN I, LAGANOVIĆ M, JOVANOVIĆ A, et al., Treatment and control of hypertension in Croatia. </w:t>
      </w:r>
      <w:proofErr w:type="gramStart"/>
      <w:r w:rsidRPr="004050AE">
        <w:rPr>
          <w:rFonts w:ascii="Verdana" w:hAnsi="Verdana"/>
        </w:rPr>
        <w:t>The BEL-AH study.</w:t>
      </w:r>
      <w:proofErr w:type="gramEnd"/>
      <w:r w:rsidRPr="004050AE">
        <w:rPr>
          <w:rFonts w:ascii="Verdana" w:hAnsi="Verdana"/>
        </w:rPr>
        <w:t xml:space="preserve"> </w:t>
      </w:r>
      <w:proofErr w:type="spellStart"/>
      <w:r w:rsidRPr="004050AE">
        <w:rPr>
          <w:rFonts w:ascii="Verdana" w:hAnsi="Verdana"/>
        </w:rPr>
        <w:t>Lijec</w:t>
      </w:r>
      <w:proofErr w:type="spellEnd"/>
      <w:r w:rsidRPr="004050AE">
        <w:rPr>
          <w:rFonts w:ascii="Verdana" w:hAnsi="Verdana"/>
        </w:rPr>
        <w:t xml:space="preserve"> </w:t>
      </w:r>
      <w:proofErr w:type="spellStart"/>
      <w:r w:rsidRPr="004050AE">
        <w:rPr>
          <w:rFonts w:ascii="Verdana" w:hAnsi="Verdana"/>
        </w:rPr>
        <w:t>Vjesn</w:t>
      </w:r>
      <w:proofErr w:type="spellEnd"/>
      <w:r w:rsidRPr="004050AE">
        <w:rPr>
          <w:rFonts w:ascii="Verdana" w:hAnsi="Verdana"/>
        </w:rPr>
        <w:t>. 2006 Nov-Dec</w:t>
      </w:r>
      <w:proofErr w:type="gramStart"/>
      <w:r w:rsidRPr="004050AE">
        <w:rPr>
          <w:rFonts w:ascii="Verdana" w:hAnsi="Verdana"/>
        </w:rPr>
        <w:t>;128</w:t>
      </w:r>
      <w:proofErr w:type="gramEnd"/>
      <w:r w:rsidRPr="004050AE">
        <w:rPr>
          <w:rFonts w:ascii="Verdana" w:hAnsi="Verdana"/>
        </w:rPr>
        <w:t xml:space="preserve"> (11–12):329–33. </w:t>
      </w:r>
    </w:p>
  </w:footnote>
  <w:footnote w:id="17">
    <w:p w:rsidR="00237DB9" w:rsidRPr="004050AE" w:rsidRDefault="00237DB9" w:rsidP="00614C74">
      <w:pPr>
        <w:pStyle w:val="FootnoteText"/>
        <w:rPr>
          <w:rFonts w:ascii="Verdana" w:hAnsi="Verdana"/>
          <w:lang w:val="ro-RO"/>
        </w:rPr>
      </w:pPr>
      <w:r w:rsidRPr="004050AE">
        <w:rPr>
          <w:rStyle w:val="FootnoteReference"/>
          <w:rFonts w:ascii="Verdana" w:hAnsi="Verdana"/>
          <w:vertAlign w:val="baseline"/>
        </w:rPr>
        <w:footnoteRef/>
      </w:r>
      <w:r w:rsidRPr="004050AE">
        <w:rPr>
          <w:rFonts w:ascii="Verdana" w:hAnsi="Verdana"/>
          <w:lang w:val="ro-RO"/>
        </w:rPr>
        <w:t xml:space="preserve"> </w:t>
      </w:r>
      <w:r w:rsidRPr="004050AE">
        <w:rPr>
          <w:rFonts w:ascii="Verdana" w:hAnsi="Verdana"/>
          <w:lang w:val="ro-RO"/>
        </w:rPr>
        <w:t>ALTUN B, ARICI M, NERGIZOĞLU G, DERICI U, KARATAN O, TURGAN C, et al. Prevalence, awareness, treatment and control of hypertension in Turkey (the PatenT study) in 2003. J Hypertens. 2005 Oct; 23 (10):1817–23.</w:t>
      </w:r>
    </w:p>
  </w:footnote>
  <w:footnote w:id="18">
    <w:p w:rsidR="00237DB9" w:rsidRPr="00614C74" w:rsidRDefault="00237DB9" w:rsidP="00614C74">
      <w:pPr>
        <w:pStyle w:val="FootnoteText"/>
        <w:rPr>
          <w:rFonts w:ascii="Verdana" w:hAnsi="Verdana"/>
          <w:lang w:val="ro-RO"/>
        </w:rPr>
      </w:pPr>
      <w:r w:rsidRPr="004050AE">
        <w:rPr>
          <w:rStyle w:val="FootnoteReference"/>
          <w:rFonts w:ascii="Verdana" w:hAnsi="Verdana"/>
          <w:vertAlign w:val="baseline"/>
        </w:rPr>
        <w:footnoteRef/>
      </w:r>
      <w:r w:rsidRPr="004050AE">
        <w:rPr>
          <w:rFonts w:ascii="Verdana" w:hAnsi="Verdana"/>
          <w:lang w:val="ro-RO"/>
        </w:rPr>
        <w:t xml:space="preserve"> </w:t>
      </w:r>
      <w:r w:rsidRPr="004050AE">
        <w:rPr>
          <w:rFonts w:ascii="Verdana" w:hAnsi="Verdana"/>
          <w:lang w:val="ro-RO"/>
        </w:rPr>
        <w:t xml:space="preserve">JOSE L. LLISTERRI, GUSTAVO C. RODRIGUEZ-ROCA, CARLOS ESCOBAR, F. JAVIER ALONSO-MORENO, MIGUEL A. </w:t>
      </w:r>
      <w:r w:rsidRPr="004050AE">
        <w:rPr>
          <w:rFonts w:ascii="Verdana" w:hAnsi="Verdana"/>
        </w:rPr>
        <w:t>PRIETO et al. Treatment and blood pressure control</w:t>
      </w:r>
      <w:r w:rsidRPr="00614C74">
        <w:rPr>
          <w:rFonts w:ascii="Verdana" w:hAnsi="Verdana"/>
        </w:rPr>
        <w:t xml:space="preserve"> in </w:t>
      </w:r>
      <w:smartTag w:uri="urn:schemas-microsoft-com:office:smarttags" w:element="place">
        <w:smartTag w:uri="urn:schemas-microsoft-com:office:smarttags" w:element="country-region">
          <w:r w:rsidRPr="00614C74">
            <w:rPr>
              <w:rFonts w:ascii="Verdana" w:hAnsi="Verdana"/>
            </w:rPr>
            <w:t>Spain</w:t>
          </w:r>
        </w:smartTag>
      </w:smartTag>
      <w:r w:rsidRPr="00614C74">
        <w:rPr>
          <w:rFonts w:ascii="Verdana" w:hAnsi="Verdana"/>
        </w:rPr>
        <w:t xml:space="preserve"> during 2002–2010. </w:t>
      </w:r>
      <w:proofErr w:type="gramStart"/>
      <w:r w:rsidRPr="00614C74">
        <w:rPr>
          <w:rFonts w:ascii="Verdana" w:hAnsi="Verdana"/>
        </w:rPr>
        <w:t xml:space="preserve">J </w:t>
      </w:r>
      <w:proofErr w:type="spellStart"/>
      <w:r w:rsidRPr="00614C74">
        <w:rPr>
          <w:rFonts w:ascii="Verdana" w:hAnsi="Verdana"/>
        </w:rPr>
        <w:t>Hypertens</w:t>
      </w:r>
      <w:proofErr w:type="spellEnd"/>
      <w:r w:rsidRPr="00614C74">
        <w:rPr>
          <w:rFonts w:ascii="Verdana" w:hAnsi="Verdana"/>
        </w:rPr>
        <w:t>.</w:t>
      </w:r>
      <w:proofErr w:type="gramEnd"/>
      <w:r w:rsidRPr="00614C74">
        <w:rPr>
          <w:rFonts w:ascii="Verdana" w:hAnsi="Verdana"/>
        </w:rPr>
        <w:t xml:space="preserve"> </w:t>
      </w:r>
      <w:proofErr w:type="gramStart"/>
      <w:r w:rsidRPr="00614C74">
        <w:rPr>
          <w:rFonts w:ascii="Verdana" w:hAnsi="Verdana"/>
        </w:rPr>
        <w:t>2012, 30: 2425–2431.</w:t>
      </w:r>
      <w:proofErr w:type="gramEnd"/>
    </w:p>
  </w:footnote>
  <w:footnote w:id="19">
    <w:p w:rsidR="00237DB9" w:rsidRPr="004050AE" w:rsidRDefault="00237DB9">
      <w:pPr>
        <w:pStyle w:val="FootnoteText"/>
        <w:rPr>
          <w:rFonts w:ascii="Verdana" w:hAnsi="Verdana"/>
          <w:lang w:val="ro-RO"/>
        </w:rPr>
      </w:pPr>
      <w:r w:rsidRPr="004050AE">
        <w:rPr>
          <w:rStyle w:val="FootnoteReference"/>
          <w:rFonts w:ascii="Verdana" w:hAnsi="Verdana"/>
          <w:vertAlign w:val="baseline"/>
        </w:rPr>
        <w:footnoteRef/>
      </w:r>
      <w:r w:rsidRPr="004050AE">
        <w:rPr>
          <w:rFonts w:ascii="Verdana" w:hAnsi="Verdana"/>
        </w:rPr>
        <w:t xml:space="preserve"> </w:t>
      </w:r>
      <w:proofErr w:type="spellStart"/>
      <w:r w:rsidRPr="004050AE">
        <w:rPr>
          <w:rFonts w:ascii="Verdana" w:hAnsi="Verdana"/>
        </w:rPr>
        <w:t>Dorobantu</w:t>
      </w:r>
      <w:proofErr w:type="spellEnd"/>
      <w:r w:rsidRPr="004050AE">
        <w:rPr>
          <w:rFonts w:ascii="Verdana" w:hAnsi="Verdana"/>
        </w:rPr>
        <w:t xml:space="preserve"> M and al</w:t>
      </w:r>
      <w:proofErr w:type="gramStart"/>
      <w:r w:rsidRPr="004050AE">
        <w:rPr>
          <w:rFonts w:ascii="Verdana" w:hAnsi="Verdana"/>
        </w:rPr>
        <w:t>. ,</w:t>
      </w:r>
      <w:proofErr w:type="gramEnd"/>
      <w:r w:rsidRPr="004050AE">
        <w:rPr>
          <w:rFonts w:ascii="Verdana" w:hAnsi="Verdana"/>
        </w:rPr>
        <w:t xml:space="preserve"> </w:t>
      </w:r>
      <w:r w:rsidRPr="004050AE">
        <w:rPr>
          <w:rFonts w:ascii="Verdana" w:hAnsi="Verdana"/>
          <w:lang w:val="ro-RO"/>
        </w:rPr>
        <w:t xml:space="preserve">Hypertension prevalence and control in </w:t>
      </w:r>
      <w:smartTag w:uri="urn:schemas-microsoft-com:office:smarttags" w:element="place">
        <w:smartTag w:uri="urn:schemas-microsoft-com:office:smarttags" w:element="country-region">
          <w:r w:rsidRPr="004050AE">
            <w:rPr>
              <w:rFonts w:ascii="Verdana" w:hAnsi="Verdana"/>
              <w:lang w:val="ro-RO"/>
            </w:rPr>
            <w:t>Romania</w:t>
          </w:r>
        </w:smartTag>
      </w:smartTag>
      <w:r w:rsidRPr="004050AE">
        <w:rPr>
          <w:rFonts w:ascii="Verdana" w:hAnsi="Verdana"/>
          <w:lang w:val="ro-RO"/>
        </w:rPr>
        <w:t xml:space="preserve"> at a seven-year interval. Comparison SEPHAR I and II surveys. J Hypertension, 2014, 32 (1):39-47</w:t>
      </w:r>
    </w:p>
  </w:footnote>
  <w:footnote w:id="20">
    <w:p w:rsidR="00237DB9" w:rsidRPr="004050AE" w:rsidRDefault="00237DB9" w:rsidP="009C291E">
      <w:pPr>
        <w:pStyle w:val="FootnoteText"/>
        <w:jc w:val="both"/>
        <w:rPr>
          <w:rFonts w:ascii="Verdana" w:hAnsi="Verdana"/>
        </w:rPr>
      </w:pPr>
      <w:r w:rsidRPr="004050AE">
        <w:rPr>
          <w:rStyle w:val="FootnoteReference"/>
          <w:rFonts w:ascii="Verdana" w:hAnsi="Verdana"/>
          <w:vertAlign w:val="baseline"/>
        </w:rPr>
        <w:footnoteRef/>
      </w:r>
      <w:r w:rsidRPr="004050AE">
        <w:rPr>
          <w:rFonts w:ascii="Verdana" w:hAnsi="Verdana"/>
        </w:rPr>
        <w:t xml:space="preserve"> Wolf-Maier K and all., Hypertension Prevalence and Blood Pressure Levels in 6 European Countries, Canada, and the United States, JAMA, 2003, vol. 289, no.18, pp 2363-2369</w:t>
      </w:r>
    </w:p>
  </w:footnote>
  <w:footnote w:id="21">
    <w:p w:rsidR="00237DB9" w:rsidRPr="004050AE" w:rsidRDefault="00237DB9">
      <w:pPr>
        <w:pStyle w:val="FootnoteText"/>
      </w:pPr>
      <w:r w:rsidRPr="004050AE">
        <w:rPr>
          <w:rStyle w:val="FootnoteReference"/>
          <w:vertAlign w:val="baseline"/>
        </w:rPr>
        <w:footnoteRef/>
      </w:r>
      <w:r w:rsidRPr="004050AE">
        <w:t xml:space="preserve"> </w:t>
      </w:r>
      <w:r w:rsidRPr="004050AE">
        <w:rPr>
          <w:rFonts w:ascii="Verdana" w:hAnsi="Verdana"/>
        </w:rPr>
        <w:t>NCHS Data Brief, No. 107, October 2012, Hypertension among adults in the Unites States, 2009-2010</w:t>
      </w:r>
    </w:p>
  </w:footnote>
  <w:footnote w:id="22">
    <w:p w:rsidR="00237DB9" w:rsidRPr="00827EF3" w:rsidRDefault="00237DB9">
      <w:pPr>
        <w:pStyle w:val="FootnoteText"/>
      </w:pPr>
      <w:r w:rsidRPr="004050AE">
        <w:rPr>
          <w:rStyle w:val="FootnoteReference"/>
          <w:vertAlign w:val="baseline"/>
        </w:rPr>
        <w:footnoteRef/>
      </w:r>
      <w:r w:rsidRPr="004050AE">
        <w:t xml:space="preserve"> </w:t>
      </w:r>
      <w:r w:rsidRPr="004050AE">
        <w:rPr>
          <w:rFonts w:ascii="Verdana" w:hAnsi="Verdana" w:cs="Minion-Black"/>
          <w:bCs/>
        </w:rPr>
        <w:t xml:space="preserve">Prevalence, Awareness, Treatment, and Control of Hypertension among Saudi Adult Population: A National Survey </w:t>
      </w:r>
      <w:r w:rsidRPr="004050AE">
        <w:rPr>
          <w:rFonts w:ascii="Verdana" w:hAnsi="Verdana" w:cs="Minion-Regular"/>
        </w:rPr>
        <w:t>SAGE-</w:t>
      </w:r>
      <w:proofErr w:type="spellStart"/>
      <w:r w:rsidRPr="004050AE">
        <w:rPr>
          <w:rFonts w:ascii="Verdana" w:hAnsi="Verdana" w:cs="Minion-Regular"/>
        </w:rPr>
        <w:t>Hindawi</w:t>
      </w:r>
      <w:proofErr w:type="spellEnd"/>
      <w:r w:rsidRPr="004050AE">
        <w:rPr>
          <w:rFonts w:ascii="Verdana" w:hAnsi="Verdana" w:cs="Minion-Regular"/>
        </w:rPr>
        <w:t xml:space="preserve"> Access to Research International</w:t>
      </w:r>
      <w:r w:rsidRPr="00827EF3">
        <w:rPr>
          <w:rFonts w:ascii="Verdana" w:hAnsi="Verdana" w:cs="Minion-Regular"/>
        </w:rPr>
        <w:t xml:space="preserve"> Journal of Hypertension, Volume 2011</w:t>
      </w:r>
    </w:p>
  </w:footnote>
  <w:footnote w:id="23">
    <w:p w:rsidR="00237DB9" w:rsidRPr="004050AE" w:rsidRDefault="00237DB9">
      <w:pPr>
        <w:pStyle w:val="FootnoteText"/>
      </w:pPr>
      <w:r w:rsidRPr="004050AE">
        <w:rPr>
          <w:rStyle w:val="FootnoteReference"/>
          <w:vertAlign w:val="baseline"/>
        </w:rPr>
        <w:footnoteRef/>
      </w:r>
      <w:r w:rsidRPr="004050AE">
        <w:t xml:space="preserve"> </w:t>
      </w:r>
      <w:proofErr w:type="spellStart"/>
      <w:r w:rsidRPr="004050AE">
        <w:rPr>
          <w:rFonts w:ascii="Verdana" w:hAnsi="Verdana"/>
        </w:rPr>
        <w:t>Grassi</w:t>
      </w:r>
      <w:proofErr w:type="spellEnd"/>
      <w:r w:rsidRPr="004050AE">
        <w:rPr>
          <w:rFonts w:ascii="Verdana" w:hAnsi="Verdana"/>
        </w:rPr>
        <w:t xml:space="preserve"> G. and all., </w:t>
      </w:r>
      <w:r w:rsidRPr="004050AE">
        <w:rPr>
          <w:rFonts w:ascii="Verdana" w:hAnsi="Verdana" w:cs="AdvOT9069d8b3.B"/>
        </w:rPr>
        <w:t xml:space="preserve">Blood pressure control and cardiovascular risk profile in hypertensive patients from central and eastern European countries: results of the BP-CARE study, </w:t>
      </w:r>
      <w:r w:rsidRPr="004050AE">
        <w:rPr>
          <w:rFonts w:ascii="Verdana" w:hAnsi="Verdana" w:cs="AdvOTb7819099"/>
        </w:rPr>
        <w:t xml:space="preserve">European Heart Journal (2011) </w:t>
      </w:r>
      <w:r w:rsidRPr="004050AE">
        <w:rPr>
          <w:rFonts w:ascii="Verdana" w:hAnsi="Verdana" w:cs="AdvOT9069d8b3.B"/>
        </w:rPr>
        <w:t>32</w:t>
      </w:r>
      <w:r w:rsidRPr="004050AE">
        <w:rPr>
          <w:rFonts w:ascii="Verdana" w:hAnsi="Verdana" w:cs="AdvOTb7819099"/>
        </w:rPr>
        <w:t>, 218–225</w:t>
      </w:r>
    </w:p>
  </w:footnote>
  <w:footnote w:id="24">
    <w:p w:rsidR="00237DB9" w:rsidRPr="004050AE" w:rsidRDefault="00237DB9">
      <w:pPr>
        <w:pStyle w:val="FootnoteText"/>
      </w:pPr>
      <w:r w:rsidRPr="004050AE">
        <w:rPr>
          <w:rStyle w:val="FootnoteReference"/>
          <w:vertAlign w:val="baseline"/>
        </w:rPr>
        <w:footnoteRef/>
      </w:r>
      <w:r w:rsidRPr="004050AE">
        <w:t xml:space="preserve"> </w:t>
      </w:r>
      <w:r w:rsidRPr="004050AE">
        <w:rPr>
          <w:rFonts w:ascii="Verdana" w:hAnsi="Verdana"/>
        </w:rPr>
        <w:t xml:space="preserve">Yusuf S, Reddy S, </w:t>
      </w:r>
      <w:proofErr w:type="spellStart"/>
      <w:r w:rsidRPr="004050AE">
        <w:rPr>
          <w:rFonts w:ascii="Verdana" w:hAnsi="Verdana"/>
        </w:rPr>
        <w:t>Ounpuus</w:t>
      </w:r>
      <w:proofErr w:type="spellEnd"/>
      <w:r w:rsidRPr="004050AE">
        <w:rPr>
          <w:rFonts w:ascii="Verdana" w:hAnsi="Verdana"/>
        </w:rPr>
        <w:t xml:space="preserve"> S, </w:t>
      </w:r>
      <w:proofErr w:type="spellStart"/>
      <w:r w:rsidRPr="004050AE">
        <w:rPr>
          <w:rFonts w:ascii="Verdana" w:hAnsi="Verdana"/>
        </w:rPr>
        <w:t>Anad</w:t>
      </w:r>
      <w:proofErr w:type="spellEnd"/>
      <w:r w:rsidRPr="004050AE">
        <w:rPr>
          <w:rFonts w:ascii="Verdana" w:hAnsi="Verdana"/>
        </w:rPr>
        <w:t xml:space="preserve"> S, Global burden of cardiovascular diseases </w:t>
      </w:r>
      <w:r w:rsidRPr="004050AE">
        <w:rPr>
          <w:rFonts w:ascii="Verdana" w:hAnsi="Verdana"/>
          <w:i/>
          <w:iCs/>
        </w:rPr>
        <w:t xml:space="preserve">Circulation. </w:t>
      </w:r>
      <w:r w:rsidRPr="004050AE">
        <w:rPr>
          <w:rFonts w:ascii="Verdana" w:hAnsi="Verdana"/>
        </w:rPr>
        <w:t>2001;104:2855-2864</w:t>
      </w:r>
    </w:p>
  </w:footnote>
  <w:footnote w:id="25">
    <w:p w:rsidR="00237DB9" w:rsidRPr="004050AE" w:rsidRDefault="00237DB9">
      <w:pPr>
        <w:pStyle w:val="FootnoteText"/>
      </w:pPr>
      <w:r w:rsidRPr="004050AE">
        <w:rPr>
          <w:rStyle w:val="FootnoteReference"/>
          <w:vertAlign w:val="baseline"/>
        </w:rPr>
        <w:footnoteRef/>
      </w:r>
      <w:r w:rsidRPr="004050AE">
        <w:t xml:space="preserve"> </w:t>
      </w:r>
      <w:r w:rsidRPr="004050AE">
        <w:rPr>
          <w:rFonts w:ascii="Verdana" w:hAnsi="Verdana"/>
        </w:rPr>
        <w:t xml:space="preserve">Cardiovascular Diseases in Europe 2004 - Results from the Euro Heart Survey </w:t>
      </w:r>
      <w:proofErr w:type="spellStart"/>
      <w:r w:rsidRPr="004050AE">
        <w:rPr>
          <w:rFonts w:ascii="Verdana" w:hAnsi="Verdana"/>
        </w:rPr>
        <w:t>programme</w:t>
      </w:r>
      <w:proofErr w:type="spellEnd"/>
      <w:r w:rsidRPr="004050AE">
        <w:rPr>
          <w:rFonts w:ascii="Verdana" w:hAnsi="Verdana"/>
        </w:rPr>
        <w:t xml:space="preserve"> and national registries - www.escardio.org</w:t>
      </w:r>
    </w:p>
  </w:footnote>
  <w:footnote w:id="26">
    <w:p w:rsidR="00237DB9" w:rsidRPr="004050AE" w:rsidRDefault="00237DB9">
      <w:pPr>
        <w:pStyle w:val="FootnoteText"/>
        <w:rPr>
          <w:lang w:val="ro-RO"/>
        </w:rPr>
      </w:pPr>
      <w:r w:rsidRPr="004050AE">
        <w:rPr>
          <w:rStyle w:val="FootnoteReference"/>
          <w:vertAlign w:val="baseline"/>
        </w:rPr>
        <w:footnoteRef/>
      </w:r>
      <w:r w:rsidRPr="004050AE">
        <w:t xml:space="preserve"> </w:t>
      </w:r>
      <w:r w:rsidRPr="004050AE">
        <w:rPr>
          <w:rFonts w:ascii="Verdana" w:hAnsi="Verdana"/>
          <w:lang w:val="pt-BR"/>
        </w:rPr>
        <w:t>European Cardiovascular Disease Statistics. British Heart Foundation: London; 2000</w:t>
      </w:r>
    </w:p>
  </w:footnote>
  <w:footnote w:id="27">
    <w:p w:rsidR="00237DB9" w:rsidRPr="00827EF3" w:rsidRDefault="00237DB9" w:rsidP="00B400EA">
      <w:pPr>
        <w:autoSpaceDE w:val="0"/>
        <w:autoSpaceDN w:val="0"/>
        <w:adjustRightInd w:val="0"/>
        <w:rPr>
          <w:rFonts w:ascii="Verdana" w:hAnsi="Verdana"/>
          <w:sz w:val="20"/>
          <w:szCs w:val="20"/>
        </w:rPr>
      </w:pPr>
      <w:r w:rsidRPr="004050AE">
        <w:rPr>
          <w:rStyle w:val="FootnoteReference"/>
          <w:rFonts w:ascii="Verdana" w:hAnsi="Verdana"/>
          <w:sz w:val="20"/>
          <w:szCs w:val="20"/>
          <w:vertAlign w:val="baseline"/>
        </w:rPr>
        <w:footnoteRef/>
      </w:r>
      <w:r w:rsidRPr="004050AE">
        <w:rPr>
          <w:rFonts w:ascii="Verdana" w:hAnsi="Verdana"/>
          <w:sz w:val="20"/>
          <w:szCs w:val="20"/>
        </w:rPr>
        <w:t xml:space="preserve"> Ethel M. </w:t>
      </w:r>
      <w:proofErr w:type="spellStart"/>
      <w:r w:rsidRPr="004050AE">
        <w:rPr>
          <w:rFonts w:ascii="Verdana" w:hAnsi="Verdana"/>
          <w:sz w:val="20"/>
          <w:szCs w:val="20"/>
        </w:rPr>
        <w:t>Frese</w:t>
      </w:r>
      <w:proofErr w:type="spellEnd"/>
      <w:r w:rsidRPr="004050AE">
        <w:rPr>
          <w:rFonts w:ascii="Verdana" w:hAnsi="Verdana"/>
          <w:sz w:val="20"/>
          <w:szCs w:val="20"/>
        </w:rPr>
        <w:t xml:space="preserve">, PT, Ann </w:t>
      </w:r>
      <w:proofErr w:type="spellStart"/>
      <w:r w:rsidRPr="004050AE">
        <w:rPr>
          <w:rFonts w:ascii="Verdana" w:hAnsi="Verdana"/>
          <w:sz w:val="20"/>
          <w:szCs w:val="20"/>
        </w:rPr>
        <w:t>Fick</w:t>
      </w:r>
      <w:proofErr w:type="spellEnd"/>
      <w:r w:rsidRPr="004050AE">
        <w:rPr>
          <w:rFonts w:ascii="Verdana" w:hAnsi="Verdana"/>
          <w:sz w:val="20"/>
          <w:szCs w:val="20"/>
        </w:rPr>
        <w:t xml:space="preserve">, H. Steven </w:t>
      </w:r>
      <w:proofErr w:type="spellStart"/>
      <w:r w:rsidRPr="004050AE">
        <w:rPr>
          <w:rFonts w:ascii="Verdana" w:hAnsi="Verdana"/>
          <w:sz w:val="20"/>
          <w:szCs w:val="20"/>
        </w:rPr>
        <w:t>Sadowsky</w:t>
      </w:r>
      <w:proofErr w:type="spellEnd"/>
      <w:r w:rsidRPr="004050AE">
        <w:rPr>
          <w:rFonts w:ascii="Verdana" w:hAnsi="Verdana"/>
          <w:sz w:val="20"/>
          <w:szCs w:val="20"/>
        </w:rPr>
        <w:t xml:space="preserve">, </w:t>
      </w:r>
      <w:r w:rsidRPr="004050AE">
        <w:rPr>
          <w:rFonts w:ascii="Verdana" w:hAnsi="Verdana" w:cs="OptimaLTStd-Bold"/>
          <w:bCs/>
          <w:sz w:val="20"/>
          <w:szCs w:val="20"/>
        </w:rPr>
        <w:t>Blood Pressure Measurement Guidelines for Physical Therapists</w:t>
      </w:r>
      <w:r w:rsidRPr="004050AE">
        <w:rPr>
          <w:rStyle w:val="citation-abbreviation"/>
          <w:rFonts w:ascii="Verdana" w:hAnsi="Verdana"/>
          <w:sz w:val="20"/>
          <w:szCs w:val="20"/>
        </w:rPr>
        <w:t xml:space="preserve"> </w:t>
      </w:r>
      <w:proofErr w:type="spellStart"/>
      <w:r w:rsidRPr="004050AE">
        <w:rPr>
          <w:rStyle w:val="citation-abbreviation"/>
          <w:rFonts w:ascii="Verdana" w:hAnsi="Verdana"/>
          <w:sz w:val="20"/>
          <w:szCs w:val="20"/>
        </w:rPr>
        <w:t>Cardiopulm</w:t>
      </w:r>
      <w:proofErr w:type="spellEnd"/>
      <w:r w:rsidRPr="004050AE">
        <w:rPr>
          <w:rStyle w:val="citation-abbreviation"/>
          <w:rFonts w:ascii="Verdana" w:hAnsi="Verdana"/>
          <w:sz w:val="20"/>
          <w:szCs w:val="20"/>
        </w:rPr>
        <w:t xml:space="preserve"> Phys </w:t>
      </w:r>
      <w:proofErr w:type="spellStart"/>
      <w:r w:rsidRPr="004050AE">
        <w:rPr>
          <w:rStyle w:val="citation-abbreviation"/>
          <w:rFonts w:ascii="Verdana" w:hAnsi="Verdana"/>
          <w:sz w:val="20"/>
          <w:szCs w:val="20"/>
        </w:rPr>
        <w:t>Ther</w:t>
      </w:r>
      <w:proofErr w:type="spellEnd"/>
      <w:r w:rsidRPr="004050AE">
        <w:rPr>
          <w:rStyle w:val="citation-abbreviation"/>
          <w:rFonts w:ascii="Verdana" w:hAnsi="Verdana"/>
          <w:sz w:val="20"/>
          <w:szCs w:val="20"/>
        </w:rPr>
        <w:t xml:space="preserve"> J. </w:t>
      </w:r>
      <w:r w:rsidRPr="004050AE">
        <w:rPr>
          <w:rStyle w:val="citation-publication-date"/>
          <w:rFonts w:ascii="Verdana" w:hAnsi="Verdana"/>
          <w:sz w:val="20"/>
          <w:szCs w:val="20"/>
        </w:rPr>
        <w:t>2011 June;</w:t>
      </w:r>
      <w:r w:rsidRPr="00827EF3">
        <w:rPr>
          <w:rStyle w:val="citation-publication-date"/>
          <w:rFonts w:ascii="Verdana" w:hAnsi="Verdana"/>
          <w:sz w:val="20"/>
          <w:szCs w:val="20"/>
        </w:rPr>
        <w:t xml:space="preserve"> </w:t>
      </w:r>
      <w:r w:rsidRPr="00827EF3">
        <w:rPr>
          <w:rStyle w:val="citation-volume"/>
          <w:rFonts w:ascii="Verdana" w:hAnsi="Verdana"/>
          <w:sz w:val="20"/>
          <w:szCs w:val="20"/>
        </w:rPr>
        <w:t>22</w:t>
      </w:r>
      <w:r w:rsidRPr="00827EF3">
        <w:rPr>
          <w:rStyle w:val="citation-issue"/>
          <w:rFonts w:ascii="Verdana" w:hAnsi="Verdana"/>
          <w:sz w:val="20"/>
          <w:szCs w:val="20"/>
        </w:rPr>
        <w:t>(2)</w:t>
      </w:r>
      <w:r w:rsidRPr="00827EF3">
        <w:rPr>
          <w:rStyle w:val="citation-flpages"/>
          <w:rFonts w:ascii="Verdana" w:hAnsi="Verdana"/>
          <w:sz w:val="20"/>
          <w:szCs w:val="20"/>
        </w:rPr>
        <w:t xml:space="preserve">: 5–12 </w:t>
      </w:r>
    </w:p>
  </w:footnote>
  <w:footnote w:id="28">
    <w:p w:rsidR="00237DB9" w:rsidRPr="004050AE" w:rsidRDefault="00237DB9" w:rsidP="00B400EA">
      <w:pPr>
        <w:pStyle w:val="FootnoteText"/>
        <w:rPr>
          <w:rFonts w:ascii="Verdana" w:hAnsi="Verdana"/>
        </w:rPr>
      </w:pPr>
      <w:r w:rsidRPr="004050AE">
        <w:rPr>
          <w:rStyle w:val="FootnoteReference"/>
          <w:rFonts w:ascii="Verdana" w:hAnsi="Verdana"/>
          <w:vertAlign w:val="baseline"/>
        </w:rPr>
        <w:footnoteRef/>
      </w:r>
      <w:r w:rsidRPr="004050AE">
        <w:rPr>
          <w:rFonts w:ascii="Verdana" w:hAnsi="Verdana"/>
        </w:rPr>
        <w:t xml:space="preserve"> National </w:t>
      </w:r>
      <w:smartTag w:uri="urn:schemas-microsoft-com:office:smarttags" w:element="place">
        <w:smartTag w:uri="urn:schemas-microsoft-com:office:smarttags" w:element="PlaceType">
          <w:r w:rsidRPr="004050AE">
            <w:rPr>
              <w:rFonts w:ascii="Verdana" w:hAnsi="Verdana"/>
            </w:rPr>
            <w:t>Institute</w:t>
          </w:r>
        </w:smartTag>
        <w:r w:rsidRPr="004050AE">
          <w:rPr>
            <w:rFonts w:ascii="Verdana" w:hAnsi="Verdana"/>
          </w:rPr>
          <w:t xml:space="preserve"> of </w:t>
        </w:r>
        <w:smartTag w:uri="urn:schemas-microsoft-com:office:smarttags" w:element="PlaceName">
          <w:r w:rsidRPr="004050AE">
            <w:rPr>
              <w:rFonts w:ascii="Verdana" w:hAnsi="Verdana"/>
            </w:rPr>
            <w:t>Health</w:t>
          </w:r>
        </w:smartTag>
      </w:smartTag>
      <w:r w:rsidRPr="004050AE">
        <w:rPr>
          <w:rFonts w:ascii="Verdana" w:hAnsi="Verdana"/>
        </w:rPr>
        <w:t xml:space="preserve"> and Clinical Excellence</w:t>
      </w:r>
      <w:r w:rsidRPr="004050AE">
        <w:rPr>
          <w:rFonts w:ascii="Verdana" w:hAnsi="Verdana" w:cs="Arial"/>
        </w:rPr>
        <w:t>, MNT – Medical News Today, 2011</w:t>
      </w:r>
    </w:p>
  </w:footnote>
  <w:footnote w:id="29">
    <w:p w:rsidR="00237DB9" w:rsidRPr="00ED7B16" w:rsidRDefault="00237DB9" w:rsidP="00B400EA">
      <w:pPr>
        <w:jc w:val="both"/>
        <w:rPr>
          <w:rFonts w:ascii="Verdana" w:hAnsi="Verdana"/>
          <w:color w:val="3366CC"/>
          <w:sz w:val="20"/>
          <w:szCs w:val="20"/>
        </w:rPr>
      </w:pPr>
      <w:r w:rsidRPr="004050AE">
        <w:rPr>
          <w:rStyle w:val="FootnoteReference"/>
          <w:rFonts w:ascii="Verdana" w:hAnsi="Verdana"/>
          <w:sz w:val="20"/>
          <w:szCs w:val="20"/>
          <w:vertAlign w:val="baseline"/>
        </w:rPr>
        <w:footnoteRef/>
      </w:r>
      <w:r w:rsidRPr="004050AE">
        <w:rPr>
          <w:rFonts w:ascii="Verdana" w:hAnsi="Verdana"/>
          <w:sz w:val="20"/>
          <w:szCs w:val="20"/>
        </w:rPr>
        <w:t xml:space="preserve"> </w:t>
      </w:r>
      <w:hyperlink r:id="rId2" w:tgtFrame="_new" w:tooltip="Pocket guidelines for Assessment and Management of Cardiovascular Risk" w:history="1">
        <w:r w:rsidRPr="00ED7B16">
          <w:rPr>
            <w:rFonts w:ascii="Verdana" w:hAnsi="Verdana"/>
            <w:bCs/>
            <w:color w:val="3366CC"/>
            <w:sz w:val="20"/>
            <w:szCs w:val="20"/>
            <w:u w:val="single"/>
          </w:rPr>
          <w:t>http://www.ish-world.com/Documents/PocketGL_ENGLISH_EUR-A-B.PDF</w:t>
        </w:r>
      </w:hyperlink>
    </w:p>
  </w:footnote>
  <w:footnote w:id="30">
    <w:p w:rsidR="00237DB9" w:rsidRPr="00ED7B16" w:rsidRDefault="00237DB9" w:rsidP="00B400EA">
      <w:pPr>
        <w:autoSpaceDE w:val="0"/>
        <w:autoSpaceDN w:val="0"/>
        <w:adjustRightInd w:val="0"/>
        <w:jc w:val="both"/>
        <w:rPr>
          <w:rFonts w:ascii="Verdana" w:hAnsi="Verdana"/>
          <w:color w:val="3366CC"/>
          <w:sz w:val="20"/>
          <w:szCs w:val="20"/>
        </w:rPr>
      </w:pPr>
      <w:r w:rsidRPr="004050AE">
        <w:rPr>
          <w:rStyle w:val="FootnoteReference"/>
          <w:rFonts w:ascii="Verdana" w:hAnsi="Verdana"/>
          <w:sz w:val="20"/>
          <w:szCs w:val="20"/>
          <w:vertAlign w:val="baseline"/>
        </w:rPr>
        <w:footnoteRef/>
      </w:r>
      <w:r w:rsidRPr="004050AE">
        <w:rPr>
          <w:rFonts w:ascii="Verdana" w:hAnsi="Verdana"/>
          <w:sz w:val="20"/>
          <w:szCs w:val="20"/>
        </w:rPr>
        <w:t xml:space="preserve"> </w:t>
      </w:r>
      <w:proofErr w:type="spellStart"/>
      <w:r w:rsidRPr="004050AE">
        <w:rPr>
          <w:rFonts w:ascii="Verdana" w:hAnsi="Verdana"/>
          <w:sz w:val="20"/>
          <w:szCs w:val="20"/>
        </w:rPr>
        <w:t>Lurbe</w:t>
      </w:r>
      <w:proofErr w:type="spellEnd"/>
      <w:r w:rsidRPr="004050AE">
        <w:rPr>
          <w:rFonts w:ascii="Verdana" w:hAnsi="Verdana"/>
          <w:sz w:val="20"/>
          <w:szCs w:val="20"/>
        </w:rPr>
        <w:t xml:space="preserve"> E and all., Journal of Hypertension </w:t>
      </w:r>
      <w:r w:rsidRPr="004050AE">
        <w:rPr>
          <w:rFonts w:ascii="Verdana" w:hAnsi="Verdana" w:cs="AdvP405AA6"/>
          <w:sz w:val="20"/>
          <w:szCs w:val="20"/>
        </w:rPr>
        <w:t xml:space="preserve">2009, </w:t>
      </w:r>
      <w:r w:rsidRPr="004050AE">
        <w:rPr>
          <w:rFonts w:ascii="Verdana" w:hAnsi="Verdana"/>
          <w:sz w:val="20"/>
          <w:szCs w:val="20"/>
        </w:rPr>
        <w:t>27</w:t>
      </w:r>
      <w:r w:rsidRPr="004050AE">
        <w:rPr>
          <w:rFonts w:ascii="Verdana" w:hAnsi="Verdana" w:cs="AdvP405AA6"/>
          <w:sz w:val="20"/>
          <w:szCs w:val="20"/>
        </w:rPr>
        <w:t xml:space="preserve">:1719–1742, </w:t>
      </w:r>
      <w:hyperlink r:id="rId3" w:history="1">
        <w:r w:rsidRPr="00ED7B16">
          <w:rPr>
            <w:rStyle w:val="Hyperlink"/>
            <w:rFonts w:ascii="Verdana" w:hAnsi="Verdana" w:cs="AdvP405AA6"/>
            <w:color w:val="3366CC"/>
            <w:sz w:val="20"/>
            <w:szCs w:val="20"/>
          </w:rPr>
          <w:t>http://www.cpgn.net/web/uploadfile/2011/</w:t>
        </w:r>
      </w:hyperlink>
      <w:r w:rsidRPr="00ED7B16">
        <w:rPr>
          <w:rFonts w:ascii="Verdana" w:hAnsi="Verdana" w:cs="AdvP405AA6"/>
          <w:color w:val="3366CC"/>
          <w:sz w:val="20"/>
          <w:szCs w:val="20"/>
        </w:rPr>
        <w:t xml:space="preserve"> </w:t>
      </w:r>
    </w:p>
  </w:footnote>
  <w:footnote w:id="31">
    <w:p w:rsidR="00237DB9" w:rsidRPr="004050AE" w:rsidRDefault="00237DB9" w:rsidP="002E6264">
      <w:pPr>
        <w:autoSpaceDE w:val="0"/>
        <w:autoSpaceDN w:val="0"/>
        <w:adjustRightInd w:val="0"/>
        <w:jc w:val="both"/>
        <w:rPr>
          <w:rFonts w:ascii="Verdana" w:hAnsi="Verdana"/>
          <w:sz w:val="20"/>
          <w:szCs w:val="20"/>
        </w:rPr>
      </w:pPr>
      <w:r w:rsidRPr="004050AE">
        <w:rPr>
          <w:rStyle w:val="FootnoteReference"/>
          <w:rFonts w:ascii="Verdana" w:hAnsi="Verdana"/>
          <w:sz w:val="20"/>
          <w:szCs w:val="20"/>
          <w:vertAlign w:val="baseline"/>
        </w:rPr>
        <w:footnoteRef/>
      </w:r>
      <w:r w:rsidRPr="004050AE">
        <w:rPr>
          <w:rFonts w:ascii="Verdana" w:hAnsi="Verdana"/>
          <w:sz w:val="20"/>
          <w:szCs w:val="20"/>
        </w:rPr>
        <w:t xml:space="preserve"> Gianfranco </w:t>
      </w:r>
      <w:proofErr w:type="spellStart"/>
      <w:r w:rsidRPr="004050AE">
        <w:rPr>
          <w:rFonts w:ascii="Verdana" w:hAnsi="Verdana"/>
          <w:sz w:val="20"/>
          <w:szCs w:val="20"/>
        </w:rPr>
        <w:t>Parati</w:t>
      </w:r>
      <w:proofErr w:type="spellEnd"/>
      <w:r w:rsidRPr="004050AE">
        <w:rPr>
          <w:rFonts w:ascii="Verdana" w:hAnsi="Verdana"/>
          <w:sz w:val="20"/>
          <w:szCs w:val="20"/>
        </w:rPr>
        <w:t xml:space="preserve"> and all., </w:t>
      </w:r>
      <w:r w:rsidRPr="004050AE">
        <w:rPr>
          <w:rFonts w:ascii="Verdana" w:hAnsi="Verdana" w:cs="AdvP410358"/>
          <w:sz w:val="20"/>
          <w:szCs w:val="20"/>
        </w:rPr>
        <w:t xml:space="preserve">Journal of Hypertension </w:t>
      </w:r>
      <w:r w:rsidRPr="004050AE">
        <w:rPr>
          <w:rFonts w:ascii="Verdana" w:hAnsi="Verdana" w:cs="AdvP405AA6"/>
          <w:sz w:val="20"/>
          <w:szCs w:val="20"/>
        </w:rPr>
        <w:t xml:space="preserve">2008, </w:t>
      </w:r>
      <w:r w:rsidRPr="004050AE">
        <w:rPr>
          <w:rFonts w:ascii="Verdana" w:hAnsi="Verdana" w:cs="AdvP410358"/>
          <w:sz w:val="20"/>
          <w:szCs w:val="20"/>
        </w:rPr>
        <w:t>26</w:t>
      </w:r>
      <w:r w:rsidRPr="004050AE">
        <w:rPr>
          <w:rFonts w:ascii="Verdana" w:hAnsi="Verdana" w:cs="AdvP405AA6"/>
          <w:sz w:val="20"/>
          <w:szCs w:val="20"/>
        </w:rPr>
        <w:t>:1505–1530</w:t>
      </w:r>
    </w:p>
  </w:footnote>
  <w:footnote w:id="32">
    <w:p w:rsidR="00237DB9" w:rsidRPr="0070401C" w:rsidRDefault="00237DB9">
      <w:pPr>
        <w:pStyle w:val="FootnoteText"/>
        <w:rPr>
          <w:rFonts w:ascii="Verdana" w:hAnsi="Verdana"/>
        </w:rPr>
      </w:pPr>
      <w:r w:rsidRPr="0070401C">
        <w:rPr>
          <w:rStyle w:val="FootnoteReference"/>
          <w:rFonts w:ascii="Verdana" w:hAnsi="Verdana"/>
        </w:rPr>
        <w:footnoteRef/>
      </w:r>
      <w:r w:rsidRPr="0070401C">
        <w:rPr>
          <w:rFonts w:ascii="Verdana" w:hAnsi="Verdana"/>
        </w:rPr>
        <w:t xml:space="preserve"> </w:t>
      </w:r>
      <w:proofErr w:type="spellStart"/>
      <w:r w:rsidRPr="0070401C">
        <w:rPr>
          <w:rFonts w:ascii="Verdana" w:hAnsi="Verdana"/>
        </w:rPr>
        <w:t>Mancia</w:t>
      </w:r>
      <w:proofErr w:type="spellEnd"/>
      <w:r w:rsidRPr="0070401C">
        <w:rPr>
          <w:rFonts w:ascii="Verdana" w:hAnsi="Verdana"/>
        </w:rPr>
        <w:t xml:space="preserve"> G et al. Journal of Hypertension 2009, 27:000–000</w:t>
      </w:r>
    </w:p>
  </w:footnote>
  <w:footnote w:id="33">
    <w:p w:rsidR="00237DB9" w:rsidRPr="00ED7B16" w:rsidRDefault="00237DB9" w:rsidP="005F402D">
      <w:pPr>
        <w:pStyle w:val="FootnoteText"/>
        <w:rPr>
          <w:rFonts w:ascii="Verdana" w:hAnsi="Verdana"/>
          <w:color w:val="3366CC"/>
          <w:lang w:val="ro-RO"/>
        </w:rPr>
      </w:pPr>
      <w:r w:rsidRPr="004050AE">
        <w:rPr>
          <w:rStyle w:val="FootnoteReference"/>
          <w:vertAlign w:val="baseline"/>
        </w:rPr>
        <w:footnoteRef/>
      </w:r>
      <w:r w:rsidRPr="004050AE">
        <w:t xml:space="preserve"> </w:t>
      </w:r>
      <w:r w:rsidRPr="004050AE">
        <w:rPr>
          <w:rFonts w:ascii="Verdana" w:hAnsi="Verdana"/>
          <w:lang w:val="ro-RO"/>
        </w:rPr>
        <w:t>Mancia et al.</w:t>
      </w:r>
      <w:r w:rsidRPr="004050AE">
        <w:t xml:space="preserve"> </w:t>
      </w:r>
      <w:r w:rsidRPr="004050AE">
        <w:rPr>
          <w:rFonts w:ascii="Verdana" w:hAnsi="Verdana"/>
          <w:lang w:val="ro-RO"/>
        </w:rPr>
        <w:t xml:space="preserve">2013, 2013 ESH/ESC Guidelines for the management of arterial hypertension, Journal of Hypertension 2013, 31:1281–1357, </w:t>
      </w:r>
      <w:r w:rsidRPr="00ED7B16">
        <w:rPr>
          <w:rFonts w:ascii="Verdana" w:hAnsi="Verdana"/>
          <w:color w:val="3366CC"/>
          <w:lang w:val="ro-RO"/>
        </w:rPr>
        <w:t>http://www.esh2013.org/wordpress/wp-content/uploads/2013/06/ESC-ESH-Guidelines-2013.pdf</w:t>
      </w:r>
    </w:p>
  </w:footnote>
  <w:footnote w:id="34">
    <w:p w:rsidR="00237DB9" w:rsidRPr="00ED7B16" w:rsidRDefault="00237DB9" w:rsidP="00CB09E0">
      <w:pPr>
        <w:pStyle w:val="FootnoteText"/>
        <w:rPr>
          <w:rFonts w:ascii="Verdana" w:hAnsi="Verdana"/>
          <w:color w:val="3366CC"/>
          <w:lang w:val="ro-RO"/>
        </w:rPr>
      </w:pPr>
      <w:r w:rsidRPr="004050AE">
        <w:rPr>
          <w:rStyle w:val="FootnoteReference"/>
          <w:vertAlign w:val="baseline"/>
        </w:rPr>
        <w:footnoteRef/>
      </w:r>
      <w:r w:rsidRPr="004050AE">
        <w:rPr>
          <w:lang w:val="ro-RO"/>
        </w:rPr>
        <w:t xml:space="preserve"> </w:t>
      </w:r>
      <w:r w:rsidRPr="004050AE">
        <w:rPr>
          <w:rFonts w:ascii="Verdana" w:hAnsi="Verdana"/>
          <w:lang w:val="ro-RO"/>
        </w:rPr>
        <w:t xml:space="preserve">Hypertension: Emergencies and UrgenciesReference # 246, </w:t>
      </w:r>
      <w:r w:rsidRPr="00ED7B16">
        <w:rPr>
          <w:rFonts w:ascii="Verdana" w:hAnsi="Verdana"/>
          <w:color w:val="3366CC"/>
          <w:lang w:val="ro-RO"/>
        </w:rPr>
        <w:t>http://www.gacguidelines.ca/site/GAC_Guidelines/assets/pdf/HYPE05-Emergencies_and_Urgencies.pdf</w:t>
      </w:r>
    </w:p>
  </w:footnote>
  <w:footnote w:id="35">
    <w:p w:rsidR="00237DB9" w:rsidRPr="00ED7B16" w:rsidRDefault="00237DB9">
      <w:pPr>
        <w:pStyle w:val="FootnoteText"/>
        <w:rPr>
          <w:rFonts w:ascii="Verdana" w:hAnsi="Verdana"/>
          <w:color w:val="3366CC"/>
          <w:lang w:val="ro-RO"/>
        </w:rPr>
      </w:pPr>
      <w:r w:rsidRPr="004050AE">
        <w:rPr>
          <w:rStyle w:val="FootnoteReference"/>
          <w:rFonts w:ascii="Verdana" w:hAnsi="Verdana"/>
          <w:vertAlign w:val="baseline"/>
        </w:rPr>
        <w:footnoteRef/>
      </w:r>
      <w:r w:rsidRPr="004050AE">
        <w:rPr>
          <w:rFonts w:ascii="Verdana" w:hAnsi="Verdana"/>
          <w:color w:val="0066CC"/>
          <w:lang w:val="ro-RO"/>
        </w:rPr>
        <w:t xml:space="preserve"> </w:t>
      </w:r>
      <w:r w:rsidRPr="004050AE">
        <w:rPr>
          <w:rFonts w:ascii="Verdana" w:hAnsi="Verdana"/>
          <w:lang w:val="ro-RO"/>
        </w:rPr>
        <w:t>American Family Physician,</w:t>
      </w:r>
      <w:r w:rsidRPr="004050AE">
        <w:rPr>
          <w:rFonts w:ascii="Verdana" w:hAnsi="Verdana"/>
          <w:color w:val="0066CC"/>
          <w:lang w:val="ro-RO"/>
        </w:rPr>
        <w:t xml:space="preserve"> </w:t>
      </w:r>
      <w:r w:rsidRPr="004050AE">
        <w:rPr>
          <w:rFonts w:ascii="Verdana" w:hAnsi="Verdana"/>
          <w:lang w:val="ro-RO"/>
        </w:rPr>
        <w:t>Volume 81, Number 4</w:t>
      </w:r>
      <w:r w:rsidRPr="004050AE">
        <w:rPr>
          <w:rFonts w:ascii="Verdana" w:hAnsi="Verdana" w:cs="Verdana"/>
          <w:lang w:val="ro-RO"/>
        </w:rPr>
        <w:t>, 2010,</w:t>
      </w:r>
      <w:r w:rsidRPr="004050AE">
        <w:rPr>
          <w:rFonts w:ascii="Verdana" w:hAnsi="Verdana"/>
          <w:color w:val="0066CC"/>
          <w:lang w:val="ro-RO"/>
        </w:rPr>
        <w:t xml:space="preserve">  </w:t>
      </w:r>
      <w:r w:rsidRPr="00ED7B16">
        <w:rPr>
          <w:rFonts w:ascii="Verdana" w:hAnsi="Verdana"/>
          <w:color w:val="3366CC"/>
          <w:lang w:val="ro-RO"/>
        </w:rPr>
        <w:t>http://www.aafp.org/afp/2010/0215/p470.pdf</w:t>
      </w:r>
    </w:p>
  </w:footnote>
  <w:footnote w:id="36">
    <w:p w:rsidR="00237DB9" w:rsidRPr="00ED7B16" w:rsidRDefault="00237DB9">
      <w:pPr>
        <w:pStyle w:val="FootnoteText"/>
        <w:rPr>
          <w:rFonts w:ascii="Verdana" w:hAnsi="Verdana"/>
          <w:color w:val="3366CC"/>
          <w:lang w:val="ro-RO"/>
        </w:rPr>
      </w:pPr>
      <w:r w:rsidRPr="004050AE">
        <w:rPr>
          <w:rStyle w:val="FootnoteReference"/>
          <w:rFonts w:ascii="Verdana" w:hAnsi="Verdana"/>
          <w:vertAlign w:val="baseline"/>
        </w:rPr>
        <w:footnoteRef/>
      </w:r>
      <w:r w:rsidRPr="004050AE">
        <w:rPr>
          <w:rFonts w:ascii="Verdana" w:hAnsi="Verdana"/>
          <w:lang w:val="ro-RO"/>
        </w:rPr>
        <w:t xml:space="preserve"> </w:t>
      </w:r>
      <w:r w:rsidRPr="00ED7B16">
        <w:rPr>
          <w:rFonts w:ascii="Verdana" w:hAnsi="Verdana"/>
          <w:color w:val="3366CC"/>
          <w:lang w:val="ro-RO"/>
        </w:rPr>
        <w:t>http://www.ms.ro/documente/Ghid%205_8292_5998.pdf</w:t>
      </w:r>
    </w:p>
  </w:footnote>
  <w:footnote w:id="37">
    <w:p w:rsidR="00237DB9" w:rsidRPr="00ED7B16" w:rsidRDefault="00237DB9" w:rsidP="002E6264">
      <w:pPr>
        <w:spacing w:line="360" w:lineRule="auto"/>
        <w:jc w:val="both"/>
        <w:rPr>
          <w:color w:val="3366CC"/>
        </w:rPr>
      </w:pPr>
      <w:r w:rsidRPr="004050AE">
        <w:rPr>
          <w:rStyle w:val="FootnoteReference"/>
          <w:rFonts w:ascii="Verdana" w:hAnsi="Verdana"/>
          <w:sz w:val="20"/>
          <w:szCs w:val="20"/>
          <w:vertAlign w:val="baseline"/>
        </w:rPr>
        <w:footnoteRef/>
      </w:r>
      <w:r w:rsidRPr="004050AE">
        <w:t xml:space="preserve"> </w:t>
      </w:r>
      <w:hyperlink r:id="rId4" w:history="1">
        <w:r w:rsidRPr="00ED7B16">
          <w:rPr>
            <w:rStyle w:val="Hyperlink"/>
            <w:rFonts w:ascii="Verdana" w:hAnsi="Verdana"/>
            <w:color w:val="3366CC"/>
            <w:sz w:val="20"/>
            <w:szCs w:val="20"/>
          </w:rPr>
          <w:t>http://www.ghidurimedicale.ro/download/ghid_hta.pdf</w:t>
        </w:r>
      </w:hyperlink>
    </w:p>
  </w:footnote>
  <w:footnote w:id="38">
    <w:p w:rsidR="00237DB9" w:rsidRPr="00ED7B16" w:rsidRDefault="00237DB9">
      <w:pPr>
        <w:pStyle w:val="FootnoteText"/>
        <w:rPr>
          <w:color w:val="3366CC"/>
        </w:rPr>
      </w:pPr>
      <w:r w:rsidRPr="004050AE">
        <w:rPr>
          <w:rStyle w:val="FootnoteReference"/>
          <w:vertAlign w:val="baseline"/>
        </w:rPr>
        <w:footnoteRef/>
      </w:r>
      <w:r w:rsidRPr="004050AE">
        <w:t xml:space="preserve"> </w:t>
      </w:r>
      <w:hyperlink r:id="rId5" w:history="1">
        <w:r w:rsidRPr="00ED7B16">
          <w:rPr>
            <w:rStyle w:val="Hyperlink"/>
            <w:rFonts w:ascii="Verdana" w:hAnsi="Verdana"/>
            <w:color w:val="3366CC"/>
          </w:rPr>
          <w:t>http://www.ghidurimedicale.ro/images/hta/hta_pac_a.jpg</w:t>
        </w:r>
      </w:hyperlink>
    </w:p>
  </w:footnote>
  <w:footnote w:id="39">
    <w:p w:rsidR="0069455B" w:rsidRPr="00674921" w:rsidRDefault="0069455B">
      <w:pPr>
        <w:pStyle w:val="FootnoteText"/>
        <w:rPr>
          <w:rFonts w:ascii="Verdana" w:hAnsi="Verdana"/>
          <w:color w:val="3366FF"/>
          <w:sz w:val="18"/>
          <w:szCs w:val="18"/>
          <w:lang w:val="ro-RO"/>
        </w:rPr>
      </w:pPr>
      <w:r w:rsidRPr="0069455B">
        <w:rPr>
          <w:rStyle w:val="FootnoteReference"/>
          <w:rFonts w:ascii="Verdana" w:hAnsi="Verdana"/>
          <w:vertAlign w:val="baseline"/>
        </w:rPr>
        <w:footnoteRef/>
      </w:r>
      <w:r w:rsidRPr="0069455B">
        <w:rPr>
          <w:rFonts w:ascii="Verdana" w:hAnsi="Verdana"/>
        </w:rPr>
        <w:t xml:space="preserve"> </w:t>
      </w:r>
      <w:proofErr w:type="spellStart"/>
      <w:r w:rsidRPr="0069455B">
        <w:rPr>
          <w:rFonts w:ascii="Verdana" w:hAnsi="Verdana"/>
        </w:rPr>
        <w:t>Ghidul</w:t>
      </w:r>
      <w:proofErr w:type="spellEnd"/>
      <w:r w:rsidRPr="0069455B">
        <w:rPr>
          <w:rFonts w:ascii="Verdana" w:hAnsi="Verdana"/>
        </w:rPr>
        <w:t xml:space="preserve"> ESH/ESC </w:t>
      </w:r>
      <w:proofErr w:type="spellStart"/>
      <w:r w:rsidRPr="0069455B">
        <w:rPr>
          <w:rFonts w:ascii="Verdana" w:hAnsi="Verdana"/>
        </w:rPr>
        <w:t>Managementul</w:t>
      </w:r>
      <w:proofErr w:type="spellEnd"/>
      <w:r w:rsidRPr="0069455B">
        <w:rPr>
          <w:rFonts w:ascii="Verdana" w:hAnsi="Verdana"/>
        </w:rPr>
        <w:t xml:space="preserve"> </w:t>
      </w:r>
      <w:proofErr w:type="spellStart"/>
      <w:r w:rsidRPr="0069455B">
        <w:rPr>
          <w:rFonts w:ascii="Verdana" w:hAnsi="Verdana"/>
        </w:rPr>
        <w:t>hipertensiunii</w:t>
      </w:r>
      <w:proofErr w:type="spellEnd"/>
      <w:r w:rsidRPr="0069455B">
        <w:rPr>
          <w:rFonts w:ascii="Verdana" w:hAnsi="Verdana"/>
        </w:rPr>
        <w:t xml:space="preserve"> </w:t>
      </w:r>
      <w:proofErr w:type="spellStart"/>
      <w:r w:rsidRPr="0069455B">
        <w:rPr>
          <w:rFonts w:ascii="Verdana" w:hAnsi="Verdana"/>
        </w:rPr>
        <w:t>arteriale</w:t>
      </w:r>
      <w:proofErr w:type="spellEnd"/>
      <w:r w:rsidRPr="0069455B">
        <w:rPr>
          <w:rFonts w:ascii="Verdana" w:hAnsi="Verdana"/>
        </w:rPr>
        <w:t xml:space="preserve"> 2013</w:t>
      </w:r>
      <w:r>
        <w:rPr>
          <w:rFonts w:ascii="Verdana" w:hAnsi="Verdana"/>
        </w:rPr>
        <w:t>, Romanian Journal of Cardiology, vol. 23, Suppl. C</w:t>
      </w:r>
      <w:r w:rsidR="00674921">
        <w:rPr>
          <w:rFonts w:ascii="Verdana" w:hAnsi="Verdana"/>
        </w:rPr>
        <w:t xml:space="preserve">, </w:t>
      </w:r>
      <w:r w:rsidR="00674921" w:rsidRPr="00674921">
        <w:rPr>
          <w:rFonts w:ascii="Verdana" w:hAnsi="Verdana"/>
          <w:color w:val="3366FF"/>
          <w:sz w:val="18"/>
          <w:szCs w:val="18"/>
        </w:rPr>
        <w:t>http://static.romanianjournalcardiology.ro/mediaLibrary/arhiva/2013_rrc_supc.pdf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124F"/>
    <w:multiLevelType w:val="hybridMultilevel"/>
    <w:tmpl w:val="CC5EB184"/>
    <w:lvl w:ilvl="0" w:tplc="818EBC5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2F63C0F"/>
    <w:multiLevelType w:val="hybridMultilevel"/>
    <w:tmpl w:val="A2C63314"/>
    <w:lvl w:ilvl="0" w:tplc="DBE8D05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19491D"/>
    <w:multiLevelType w:val="hybridMultilevel"/>
    <w:tmpl w:val="672458AE"/>
    <w:lvl w:ilvl="0" w:tplc="818EB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4E7E82"/>
    <w:multiLevelType w:val="hybridMultilevel"/>
    <w:tmpl w:val="3D647518"/>
    <w:lvl w:ilvl="0" w:tplc="DBE8D05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B317CD6"/>
    <w:multiLevelType w:val="multilevel"/>
    <w:tmpl w:val="91B68A9C"/>
    <w:lvl w:ilvl="0">
      <w:start w:val="1"/>
      <w:numFmt w:val="upperRoman"/>
      <w:lvlText w:val="%1."/>
      <w:lvlJc w:val="left"/>
      <w:pPr>
        <w:tabs>
          <w:tab w:val="num" w:pos="284"/>
        </w:tabs>
        <w:ind w:left="720" w:hanging="720"/>
      </w:pPr>
      <w:rPr>
        <w:rFonts w:hint="default"/>
      </w:rPr>
    </w:lvl>
    <w:lvl w:ilvl="1">
      <w:start w:val="1"/>
      <w:numFmt w:val="bullet"/>
      <w:lvlText w:val=""/>
      <w:lvlJc w:val="left"/>
      <w:pPr>
        <w:tabs>
          <w:tab w:val="num" w:pos="1320"/>
        </w:tabs>
        <w:ind w:left="1320" w:hanging="360"/>
      </w:pPr>
      <w:rPr>
        <w:rFonts w:ascii="Wingdings" w:hAnsi="Wingding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5">
    <w:nsid w:val="0C1E0489"/>
    <w:multiLevelType w:val="hybridMultilevel"/>
    <w:tmpl w:val="1CCAF8D0"/>
    <w:lvl w:ilvl="0" w:tplc="EB328BE8">
      <w:start w:val="1"/>
      <w:numFmt w:val="bullet"/>
      <w:lvlText w:val=""/>
      <w:lvlJc w:val="left"/>
      <w:pPr>
        <w:tabs>
          <w:tab w:val="num" w:pos="480"/>
        </w:tabs>
        <w:ind w:left="480" w:hanging="360"/>
      </w:pPr>
      <w:rPr>
        <w:rFonts w:ascii="Wingdings" w:hAnsi="Wingdings" w:hint="default"/>
        <w:color w:val="auto"/>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0E4806ED"/>
    <w:multiLevelType w:val="hybridMultilevel"/>
    <w:tmpl w:val="6DC49B08"/>
    <w:lvl w:ilvl="0" w:tplc="818EBC5E">
      <w:start w:val="1"/>
      <w:numFmt w:val="bullet"/>
      <w:lvlText w:val=""/>
      <w:lvlJc w:val="left"/>
      <w:pPr>
        <w:tabs>
          <w:tab w:val="num" w:pos="360"/>
        </w:tabs>
        <w:ind w:left="360" w:hanging="360"/>
      </w:pPr>
      <w:rPr>
        <w:rFonts w:ascii="Wingdings" w:hAnsi="Wingdings" w:hint="default"/>
      </w:rPr>
    </w:lvl>
    <w:lvl w:ilvl="1" w:tplc="DBE8D05E">
      <w:start w:val="1"/>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6A310F"/>
    <w:multiLevelType w:val="hybridMultilevel"/>
    <w:tmpl w:val="B3CC392E"/>
    <w:lvl w:ilvl="0" w:tplc="818EBC5E">
      <w:start w:val="1"/>
      <w:numFmt w:val="bullet"/>
      <w:lvlText w:val=""/>
      <w:lvlJc w:val="left"/>
      <w:pPr>
        <w:tabs>
          <w:tab w:val="num" w:pos="360"/>
        </w:tabs>
        <w:ind w:left="360" w:hanging="360"/>
      </w:pPr>
      <w:rPr>
        <w:rFonts w:ascii="Wingdings" w:hAnsi="Wingdings" w:hint="default"/>
      </w:rPr>
    </w:lvl>
    <w:lvl w:ilvl="1" w:tplc="93709E9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F31B98"/>
    <w:multiLevelType w:val="multilevel"/>
    <w:tmpl w:val="A962912C"/>
    <w:lvl w:ilvl="0">
      <w:start w:val="1"/>
      <w:numFmt w:val="upperRoman"/>
      <w:lvlText w:val="%1."/>
      <w:lvlJc w:val="left"/>
      <w:pPr>
        <w:tabs>
          <w:tab w:val="num" w:pos="284"/>
        </w:tabs>
        <w:ind w:left="720" w:hanging="720"/>
      </w:pPr>
      <w:rPr>
        <w:rFonts w:hint="default"/>
      </w:rPr>
    </w:lvl>
    <w:lvl w:ilvl="1">
      <w:start w:val="1"/>
      <w:numFmt w:val="bullet"/>
      <w:lvlText w:val=""/>
      <w:lvlJc w:val="left"/>
      <w:pPr>
        <w:tabs>
          <w:tab w:val="num" w:pos="1320"/>
        </w:tabs>
        <w:ind w:left="1320" w:hanging="360"/>
      </w:pPr>
      <w:rPr>
        <w:rFonts w:ascii="Wingdings" w:hAnsi="Wingding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9">
    <w:nsid w:val="157C63F6"/>
    <w:multiLevelType w:val="multilevel"/>
    <w:tmpl w:val="D77AE20E"/>
    <w:lvl w:ilvl="0">
      <w:start w:val="1"/>
      <w:numFmt w:val="upperRoman"/>
      <w:lvlText w:val="%1."/>
      <w:lvlJc w:val="left"/>
      <w:pPr>
        <w:tabs>
          <w:tab w:val="num" w:pos="284"/>
        </w:tabs>
        <w:ind w:left="720" w:hanging="720"/>
      </w:pPr>
      <w:rPr>
        <w:rFonts w:hint="default"/>
      </w:rPr>
    </w:lvl>
    <w:lvl w:ilvl="1">
      <w:start w:val="1"/>
      <w:numFmt w:val="bullet"/>
      <w:lvlText w:val=""/>
      <w:lvlJc w:val="left"/>
      <w:pPr>
        <w:tabs>
          <w:tab w:val="num" w:pos="1320"/>
        </w:tabs>
        <w:ind w:left="1320" w:hanging="360"/>
      </w:pPr>
      <w:rPr>
        <w:rFonts w:ascii="Wingdings" w:hAnsi="Wingding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0">
    <w:nsid w:val="183C7740"/>
    <w:multiLevelType w:val="multilevel"/>
    <w:tmpl w:val="806EA384"/>
    <w:lvl w:ilvl="0">
      <w:start w:val="1"/>
      <w:numFmt w:val="upperRoman"/>
      <w:lvlText w:val="%1."/>
      <w:lvlJc w:val="left"/>
      <w:pPr>
        <w:tabs>
          <w:tab w:val="num" w:pos="840"/>
        </w:tabs>
        <w:ind w:left="840" w:hanging="72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E6B163F"/>
    <w:multiLevelType w:val="hybridMultilevel"/>
    <w:tmpl w:val="452657F8"/>
    <w:lvl w:ilvl="0" w:tplc="818EBC5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02734D8"/>
    <w:multiLevelType w:val="hybridMultilevel"/>
    <w:tmpl w:val="883E4A4E"/>
    <w:lvl w:ilvl="0" w:tplc="0409000B">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nsid w:val="21597E9E"/>
    <w:multiLevelType w:val="hybridMultilevel"/>
    <w:tmpl w:val="9892C970"/>
    <w:lvl w:ilvl="0" w:tplc="0409000B">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4">
    <w:nsid w:val="24296800"/>
    <w:multiLevelType w:val="multilevel"/>
    <w:tmpl w:val="E65AC8C6"/>
    <w:lvl w:ilvl="0">
      <w:start w:val="1"/>
      <w:numFmt w:val="bullet"/>
      <w:lvlText w:val=""/>
      <w:lvlJc w:val="left"/>
      <w:pPr>
        <w:tabs>
          <w:tab w:val="num" w:pos="480"/>
        </w:tabs>
        <w:ind w:left="480" w:hanging="360"/>
      </w:pPr>
      <w:rPr>
        <w:rFonts w:ascii="Wingdings" w:hAnsi="Wingdings"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15">
    <w:nsid w:val="26A30202"/>
    <w:multiLevelType w:val="multilevel"/>
    <w:tmpl w:val="2B6401D6"/>
    <w:lvl w:ilvl="0">
      <w:start w:val="1"/>
      <w:numFmt w:val="upperRoman"/>
      <w:lvlText w:val="%1."/>
      <w:lvlJc w:val="left"/>
      <w:pPr>
        <w:tabs>
          <w:tab w:val="num" w:pos="284"/>
        </w:tabs>
        <w:ind w:left="720" w:hanging="720"/>
      </w:pPr>
      <w:rPr>
        <w:rFonts w:hint="default"/>
      </w:rPr>
    </w:lvl>
    <w:lvl w:ilvl="1">
      <w:start w:val="1"/>
      <w:numFmt w:val="bullet"/>
      <w:lvlText w:val=""/>
      <w:lvlJc w:val="left"/>
      <w:pPr>
        <w:tabs>
          <w:tab w:val="num" w:pos="1320"/>
        </w:tabs>
        <w:ind w:left="1320" w:hanging="360"/>
      </w:pPr>
      <w:rPr>
        <w:rFonts w:ascii="Wingdings" w:hAnsi="Wingding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6">
    <w:nsid w:val="274F2A34"/>
    <w:multiLevelType w:val="hybridMultilevel"/>
    <w:tmpl w:val="9E62B6A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9487B21"/>
    <w:multiLevelType w:val="hybridMultilevel"/>
    <w:tmpl w:val="1B5AD6A4"/>
    <w:lvl w:ilvl="0" w:tplc="E6F2790C">
      <w:start w:val="1"/>
      <w:numFmt w:val="upperRoman"/>
      <w:lvlText w:val="%1."/>
      <w:lvlJc w:val="left"/>
      <w:pPr>
        <w:tabs>
          <w:tab w:val="num" w:pos="284"/>
        </w:tabs>
        <w:ind w:left="284" w:hanging="284"/>
      </w:pPr>
      <w:rPr>
        <w:rFonts w:hint="default"/>
      </w:rPr>
    </w:lvl>
    <w:lvl w:ilvl="1" w:tplc="818EBC5E">
      <w:start w:val="1"/>
      <w:numFmt w:val="bullet"/>
      <w:lvlText w:val=""/>
      <w:lvlJc w:val="left"/>
      <w:pPr>
        <w:tabs>
          <w:tab w:val="num" w:pos="1320"/>
        </w:tabs>
        <w:ind w:left="1320" w:hanging="360"/>
      </w:pPr>
      <w:rPr>
        <w:rFonts w:ascii="Wingdings" w:hAnsi="Wingding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2F7A1FFB"/>
    <w:multiLevelType w:val="multilevel"/>
    <w:tmpl w:val="9B3A7D4C"/>
    <w:lvl w:ilvl="0">
      <w:start w:val="1"/>
      <w:numFmt w:val="upperRoman"/>
      <w:lvlText w:val="%1."/>
      <w:lvlJc w:val="left"/>
      <w:pPr>
        <w:tabs>
          <w:tab w:val="num" w:pos="284"/>
        </w:tabs>
        <w:ind w:left="284" w:hanging="284"/>
      </w:pPr>
      <w:rPr>
        <w:rFonts w:hint="default"/>
      </w:rPr>
    </w:lvl>
    <w:lvl w:ilvl="1">
      <w:start w:val="1"/>
      <w:numFmt w:val="bullet"/>
      <w:lvlText w:val=""/>
      <w:lvlJc w:val="left"/>
      <w:pPr>
        <w:tabs>
          <w:tab w:val="num" w:pos="1320"/>
        </w:tabs>
        <w:ind w:left="1320" w:hanging="360"/>
      </w:pPr>
      <w:rPr>
        <w:rFonts w:ascii="Wingdings" w:hAnsi="Wingding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9">
    <w:nsid w:val="36546EEB"/>
    <w:multiLevelType w:val="hybridMultilevel"/>
    <w:tmpl w:val="11E26604"/>
    <w:lvl w:ilvl="0" w:tplc="DBE8D05E">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153424"/>
    <w:multiLevelType w:val="hybridMultilevel"/>
    <w:tmpl w:val="4F141D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752503"/>
    <w:multiLevelType w:val="hybridMultilevel"/>
    <w:tmpl w:val="6EDEB80C"/>
    <w:lvl w:ilvl="0" w:tplc="DBE8D05E">
      <w:start w:val="1"/>
      <w:numFmt w:val="upperRoman"/>
      <w:lvlText w:val="%1."/>
      <w:lvlJc w:val="left"/>
      <w:pPr>
        <w:tabs>
          <w:tab w:val="num" w:pos="840"/>
        </w:tabs>
        <w:ind w:left="840" w:hanging="720"/>
      </w:pPr>
      <w:rPr>
        <w:rFonts w:hint="default"/>
      </w:r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96C14BB"/>
    <w:multiLevelType w:val="multilevel"/>
    <w:tmpl w:val="18805FE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39826A27"/>
    <w:multiLevelType w:val="hybridMultilevel"/>
    <w:tmpl w:val="3778787C"/>
    <w:lvl w:ilvl="0" w:tplc="818EB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D31386F"/>
    <w:multiLevelType w:val="hybridMultilevel"/>
    <w:tmpl w:val="6BF8860C"/>
    <w:lvl w:ilvl="0" w:tplc="A9DE2758">
      <w:start w:val="1"/>
      <w:numFmt w:val="upperLetter"/>
      <w:lvlText w:val="%1."/>
      <w:lvlJc w:val="left"/>
      <w:pPr>
        <w:tabs>
          <w:tab w:val="num" w:pos="360"/>
        </w:tabs>
        <w:ind w:left="360" w:hanging="360"/>
      </w:pPr>
      <w:rPr>
        <w:rFonts w:hint="default"/>
      </w:rPr>
    </w:lvl>
    <w:lvl w:ilvl="1" w:tplc="818EBC5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0554C66"/>
    <w:multiLevelType w:val="multilevel"/>
    <w:tmpl w:val="806EA384"/>
    <w:lvl w:ilvl="0">
      <w:start w:val="1"/>
      <w:numFmt w:val="upperRoman"/>
      <w:lvlText w:val="%1."/>
      <w:lvlJc w:val="left"/>
      <w:pPr>
        <w:tabs>
          <w:tab w:val="num" w:pos="840"/>
        </w:tabs>
        <w:ind w:left="840" w:hanging="72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43863789"/>
    <w:multiLevelType w:val="hybridMultilevel"/>
    <w:tmpl w:val="AA5AD74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45162925"/>
    <w:multiLevelType w:val="hybridMultilevel"/>
    <w:tmpl w:val="B704BC5C"/>
    <w:lvl w:ilvl="0" w:tplc="0409000B">
      <w:start w:val="1"/>
      <w:numFmt w:val="bullet"/>
      <w:lvlText w:val=""/>
      <w:lvlJc w:val="left"/>
      <w:pPr>
        <w:tabs>
          <w:tab w:val="num" w:pos="1440"/>
        </w:tabs>
        <w:ind w:left="1440" w:hanging="360"/>
      </w:pPr>
      <w:rPr>
        <w:rFonts w:ascii="Wingdings" w:hAnsi="Wingdings" w:hint="default"/>
      </w:rPr>
    </w:lvl>
    <w:lvl w:ilvl="1" w:tplc="93709E9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1080"/>
        </w:tabs>
        <w:ind w:left="1080" w:hanging="360"/>
      </w:pPr>
      <w:rPr>
        <w:rFonts w:ascii="Symbol" w:hAnsi="Symbol" w:hint="default"/>
      </w:rPr>
    </w:lvl>
    <w:lvl w:ilvl="3" w:tplc="818EBC5E">
      <w:start w:val="1"/>
      <w:numFmt w:val="bullet"/>
      <w:lvlText w:val=""/>
      <w:lvlJc w:val="left"/>
      <w:pPr>
        <w:tabs>
          <w:tab w:val="num" w:pos="360"/>
        </w:tabs>
        <w:ind w:left="360" w:hanging="360"/>
      </w:pPr>
      <w:rPr>
        <w:rFonts w:ascii="Wingdings" w:hAnsi="Wingdings" w:hint="default"/>
      </w:rPr>
    </w:lvl>
    <w:lvl w:ilvl="4" w:tplc="04090003">
      <w:start w:val="1"/>
      <w:numFmt w:val="bullet"/>
      <w:lvlText w:val="o"/>
      <w:lvlJc w:val="left"/>
      <w:pPr>
        <w:tabs>
          <w:tab w:val="num" w:pos="1680"/>
        </w:tabs>
        <w:ind w:left="168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B136C5E"/>
    <w:multiLevelType w:val="hybridMultilevel"/>
    <w:tmpl w:val="637639F8"/>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8F6454"/>
    <w:multiLevelType w:val="multilevel"/>
    <w:tmpl w:val="4E660A96"/>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1320"/>
        </w:tabs>
        <w:ind w:left="1320" w:hanging="360"/>
      </w:pPr>
      <w:rPr>
        <w:rFonts w:ascii="Wingdings" w:hAnsi="Wingding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0">
    <w:nsid w:val="58835FE2"/>
    <w:multiLevelType w:val="hybridMultilevel"/>
    <w:tmpl w:val="B714FAB6"/>
    <w:lvl w:ilvl="0" w:tplc="818EB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C12E35"/>
    <w:multiLevelType w:val="multilevel"/>
    <w:tmpl w:val="11E26604"/>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73294C"/>
    <w:multiLevelType w:val="multilevel"/>
    <w:tmpl w:val="13340B32"/>
    <w:lvl w:ilvl="0">
      <w:start w:val="1"/>
      <w:numFmt w:val="upperRoman"/>
      <w:lvlText w:val="%1."/>
      <w:lvlJc w:val="left"/>
      <w:pPr>
        <w:tabs>
          <w:tab w:val="num" w:pos="284"/>
        </w:tabs>
        <w:ind w:left="720" w:hanging="720"/>
      </w:pPr>
      <w:rPr>
        <w:rFonts w:hint="default"/>
      </w:rPr>
    </w:lvl>
    <w:lvl w:ilvl="1">
      <w:start w:val="1"/>
      <w:numFmt w:val="bullet"/>
      <w:lvlText w:val=""/>
      <w:lvlJc w:val="left"/>
      <w:pPr>
        <w:tabs>
          <w:tab w:val="num" w:pos="1320"/>
        </w:tabs>
        <w:ind w:left="1320" w:hanging="360"/>
      </w:pPr>
      <w:rPr>
        <w:rFonts w:ascii="Wingdings" w:hAnsi="Wingding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3">
    <w:nsid w:val="6AC4419B"/>
    <w:multiLevelType w:val="hybridMultilevel"/>
    <w:tmpl w:val="18805FE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D0537CC"/>
    <w:multiLevelType w:val="hybridMultilevel"/>
    <w:tmpl w:val="E9501E26"/>
    <w:lvl w:ilvl="0" w:tplc="818EB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E3654D"/>
    <w:multiLevelType w:val="multilevel"/>
    <w:tmpl w:val="806EA384"/>
    <w:lvl w:ilvl="0">
      <w:start w:val="1"/>
      <w:numFmt w:val="upperRoman"/>
      <w:lvlText w:val="%1."/>
      <w:lvlJc w:val="left"/>
      <w:pPr>
        <w:tabs>
          <w:tab w:val="num" w:pos="840"/>
        </w:tabs>
        <w:ind w:left="840" w:hanging="72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EC83C55"/>
    <w:multiLevelType w:val="hybridMultilevel"/>
    <w:tmpl w:val="096E44B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F851FE2"/>
    <w:multiLevelType w:val="hybridMultilevel"/>
    <w:tmpl w:val="791825D2"/>
    <w:lvl w:ilvl="0" w:tplc="6324EE42">
      <w:start w:val="3"/>
      <w:numFmt w:val="upperRoman"/>
      <w:lvlText w:val="%1."/>
      <w:lvlJc w:val="left"/>
      <w:pPr>
        <w:tabs>
          <w:tab w:val="num" w:pos="720"/>
        </w:tabs>
        <w:ind w:left="720" w:hanging="720"/>
      </w:pPr>
      <w:rPr>
        <w:rFonts w:hint="default"/>
      </w:rPr>
    </w:lvl>
    <w:lvl w:ilvl="1" w:tplc="735E79EE">
      <w:start w:val="1"/>
      <w:numFmt w:val="lowerLetter"/>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17B4AF5"/>
    <w:multiLevelType w:val="hybridMultilevel"/>
    <w:tmpl w:val="C4F8D4DE"/>
    <w:lvl w:ilvl="0" w:tplc="EA66E31E">
      <w:start w:val="1"/>
      <w:numFmt w:val="bullet"/>
      <w:lvlText w:val=""/>
      <w:lvlJc w:val="left"/>
      <w:pPr>
        <w:tabs>
          <w:tab w:val="num" w:pos="480"/>
        </w:tabs>
        <w:ind w:left="480" w:hanging="360"/>
      </w:pPr>
      <w:rPr>
        <w:rFonts w:ascii="Wingdings" w:hAnsi="Wingdings" w:hint="default"/>
        <w:color w:val="auto"/>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nsid w:val="717C7524"/>
    <w:multiLevelType w:val="hybridMultilevel"/>
    <w:tmpl w:val="65FA90EE"/>
    <w:lvl w:ilvl="0" w:tplc="818EB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62F39EA"/>
    <w:multiLevelType w:val="multilevel"/>
    <w:tmpl w:val="2C5E67E2"/>
    <w:lvl w:ilvl="0">
      <w:start w:val="1"/>
      <w:numFmt w:val="upperRoman"/>
      <w:lvlText w:val="%1."/>
      <w:lvlJc w:val="left"/>
      <w:pPr>
        <w:tabs>
          <w:tab w:val="num" w:pos="284"/>
        </w:tabs>
        <w:ind w:left="720" w:hanging="720"/>
      </w:pPr>
      <w:rPr>
        <w:rFonts w:hint="default"/>
      </w:rPr>
    </w:lvl>
    <w:lvl w:ilvl="1">
      <w:start w:val="1"/>
      <w:numFmt w:val="bullet"/>
      <w:lvlText w:val=""/>
      <w:lvlJc w:val="left"/>
      <w:pPr>
        <w:tabs>
          <w:tab w:val="num" w:pos="1320"/>
        </w:tabs>
        <w:ind w:left="1320" w:hanging="360"/>
      </w:pPr>
      <w:rPr>
        <w:rFonts w:ascii="Wingdings" w:hAnsi="Wingding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1">
    <w:nsid w:val="7C272731"/>
    <w:multiLevelType w:val="hybridMultilevel"/>
    <w:tmpl w:val="5F5EFB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B50213"/>
    <w:multiLevelType w:val="hybridMultilevel"/>
    <w:tmpl w:val="76E819DC"/>
    <w:lvl w:ilvl="0" w:tplc="818EB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131068"/>
    <w:multiLevelType w:val="hybridMultilevel"/>
    <w:tmpl w:val="E27E842E"/>
    <w:lvl w:ilvl="0" w:tplc="818EB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453EC2"/>
    <w:multiLevelType w:val="hybridMultilevel"/>
    <w:tmpl w:val="A3DCB27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5">
    <w:nsid w:val="7F762450"/>
    <w:multiLevelType w:val="hybridMultilevel"/>
    <w:tmpl w:val="AE64A880"/>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41"/>
  </w:num>
  <w:num w:numId="3">
    <w:abstractNumId w:val="27"/>
  </w:num>
  <w:num w:numId="4">
    <w:abstractNumId w:val="36"/>
  </w:num>
  <w:num w:numId="5">
    <w:abstractNumId w:val="16"/>
  </w:num>
  <w:num w:numId="6">
    <w:abstractNumId w:val="33"/>
  </w:num>
  <w:num w:numId="7">
    <w:abstractNumId w:val="28"/>
  </w:num>
  <w:num w:numId="8">
    <w:abstractNumId w:val="26"/>
  </w:num>
  <w:num w:numId="9">
    <w:abstractNumId w:val="12"/>
  </w:num>
  <w:num w:numId="10">
    <w:abstractNumId w:val="45"/>
  </w:num>
  <w:num w:numId="11">
    <w:abstractNumId w:val="20"/>
  </w:num>
  <w:num w:numId="12">
    <w:abstractNumId w:val="13"/>
  </w:num>
  <w:num w:numId="13">
    <w:abstractNumId w:val="19"/>
  </w:num>
  <w:num w:numId="14">
    <w:abstractNumId w:val="30"/>
  </w:num>
  <w:num w:numId="15">
    <w:abstractNumId w:val="23"/>
  </w:num>
  <w:num w:numId="16">
    <w:abstractNumId w:val="34"/>
  </w:num>
  <w:num w:numId="17">
    <w:abstractNumId w:val="22"/>
  </w:num>
  <w:num w:numId="18">
    <w:abstractNumId w:val="39"/>
  </w:num>
  <w:num w:numId="19">
    <w:abstractNumId w:val="6"/>
  </w:num>
  <w:num w:numId="20">
    <w:abstractNumId w:val="38"/>
  </w:num>
  <w:num w:numId="21">
    <w:abstractNumId w:val="0"/>
  </w:num>
  <w:num w:numId="22">
    <w:abstractNumId w:val="2"/>
  </w:num>
  <w:num w:numId="23">
    <w:abstractNumId w:val="7"/>
  </w:num>
  <w:num w:numId="24">
    <w:abstractNumId w:val="11"/>
  </w:num>
  <w:num w:numId="25">
    <w:abstractNumId w:val="24"/>
  </w:num>
  <w:num w:numId="26">
    <w:abstractNumId w:val="42"/>
  </w:num>
  <w:num w:numId="27">
    <w:abstractNumId w:val="43"/>
  </w:num>
  <w:num w:numId="28">
    <w:abstractNumId w:val="44"/>
  </w:num>
  <w:num w:numId="29">
    <w:abstractNumId w:val="1"/>
  </w:num>
  <w:num w:numId="30">
    <w:abstractNumId w:val="3"/>
  </w:num>
  <w:num w:numId="31">
    <w:abstractNumId w:val="17"/>
  </w:num>
  <w:num w:numId="32">
    <w:abstractNumId w:val="31"/>
  </w:num>
  <w:num w:numId="33">
    <w:abstractNumId w:val="10"/>
  </w:num>
  <w:num w:numId="34">
    <w:abstractNumId w:val="35"/>
  </w:num>
  <w:num w:numId="35">
    <w:abstractNumId w:val="25"/>
  </w:num>
  <w:num w:numId="36">
    <w:abstractNumId w:val="29"/>
  </w:num>
  <w:num w:numId="37">
    <w:abstractNumId w:val="4"/>
  </w:num>
  <w:num w:numId="38">
    <w:abstractNumId w:val="9"/>
  </w:num>
  <w:num w:numId="39">
    <w:abstractNumId w:val="40"/>
  </w:num>
  <w:num w:numId="40">
    <w:abstractNumId w:val="32"/>
  </w:num>
  <w:num w:numId="41">
    <w:abstractNumId w:val="15"/>
  </w:num>
  <w:num w:numId="42">
    <w:abstractNumId w:val="14"/>
  </w:num>
  <w:num w:numId="43">
    <w:abstractNumId w:val="5"/>
  </w:num>
  <w:num w:numId="44">
    <w:abstractNumId w:val="8"/>
  </w:num>
  <w:num w:numId="45">
    <w:abstractNumId w:val="18"/>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344AA"/>
    <w:rsid w:val="00046114"/>
    <w:rsid w:val="000474CE"/>
    <w:rsid w:val="00087779"/>
    <w:rsid w:val="000920C8"/>
    <w:rsid w:val="000A33A6"/>
    <w:rsid w:val="000A5AEB"/>
    <w:rsid w:val="000B4DAA"/>
    <w:rsid w:val="000E7D00"/>
    <w:rsid w:val="00110857"/>
    <w:rsid w:val="00126C28"/>
    <w:rsid w:val="00127DAC"/>
    <w:rsid w:val="001341D3"/>
    <w:rsid w:val="00161225"/>
    <w:rsid w:val="00166256"/>
    <w:rsid w:val="00190967"/>
    <w:rsid w:val="001A0748"/>
    <w:rsid w:val="001D4E55"/>
    <w:rsid w:val="001F6047"/>
    <w:rsid w:val="00207561"/>
    <w:rsid w:val="00237DB9"/>
    <w:rsid w:val="00297003"/>
    <w:rsid w:val="002A66C8"/>
    <w:rsid w:val="002D5294"/>
    <w:rsid w:val="002D6780"/>
    <w:rsid w:val="002D7DC2"/>
    <w:rsid w:val="002E6264"/>
    <w:rsid w:val="002F421C"/>
    <w:rsid w:val="00311B86"/>
    <w:rsid w:val="0032084A"/>
    <w:rsid w:val="003365E6"/>
    <w:rsid w:val="003538FC"/>
    <w:rsid w:val="00360344"/>
    <w:rsid w:val="00375799"/>
    <w:rsid w:val="00376323"/>
    <w:rsid w:val="00381C28"/>
    <w:rsid w:val="003909AE"/>
    <w:rsid w:val="00391772"/>
    <w:rsid w:val="003A23FF"/>
    <w:rsid w:val="003A2E3E"/>
    <w:rsid w:val="003A5A52"/>
    <w:rsid w:val="003B55E4"/>
    <w:rsid w:val="003C1AFC"/>
    <w:rsid w:val="003E7A4E"/>
    <w:rsid w:val="003F136C"/>
    <w:rsid w:val="004038B8"/>
    <w:rsid w:val="004050AE"/>
    <w:rsid w:val="00422F1E"/>
    <w:rsid w:val="004344AA"/>
    <w:rsid w:val="00457808"/>
    <w:rsid w:val="00465BE4"/>
    <w:rsid w:val="004674C8"/>
    <w:rsid w:val="00482782"/>
    <w:rsid w:val="004A49F6"/>
    <w:rsid w:val="004A5010"/>
    <w:rsid w:val="004B3FA2"/>
    <w:rsid w:val="004B6025"/>
    <w:rsid w:val="005321DB"/>
    <w:rsid w:val="0053317D"/>
    <w:rsid w:val="005331D2"/>
    <w:rsid w:val="00534D26"/>
    <w:rsid w:val="00553C62"/>
    <w:rsid w:val="005766B4"/>
    <w:rsid w:val="00581140"/>
    <w:rsid w:val="00582256"/>
    <w:rsid w:val="005904BC"/>
    <w:rsid w:val="005A7F3E"/>
    <w:rsid w:val="005B004B"/>
    <w:rsid w:val="005E4D62"/>
    <w:rsid w:val="005F2D06"/>
    <w:rsid w:val="005F402D"/>
    <w:rsid w:val="0061090E"/>
    <w:rsid w:val="00614C74"/>
    <w:rsid w:val="00624F21"/>
    <w:rsid w:val="00666E19"/>
    <w:rsid w:val="00672EE2"/>
    <w:rsid w:val="00674921"/>
    <w:rsid w:val="00692FE6"/>
    <w:rsid w:val="0069455B"/>
    <w:rsid w:val="006C3DED"/>
    <w:rsid w:val="006D00E5"/>
    <w:rsid w:val="006D32E7"/>
    <w:rsid w:val="006E6D87"/>
    <w:rsid w:val="00700CA8"/>
    <w:rsid w:val="00700E45"/>
    <w:rsid w:val="0070401C"/>
    <w:rsid w:val="00710C87"/>
    <w:rsid w:val="0071605F"/>
    <w:rsid w:val="00720F25"/>
    <w:rsid w:val="00743A65"/>
    <w:rsid w:val="007474EA"/>
    <w:rsid w:val="007546BE"/>
    <w:rsid w:val="00772584"/>
    <w:rsid w:val="00775D21"/>
    <w:rsid w:val="0078006D"/>
    <w:rsid w:val="007807D0"/>
    <w:rsid w:val="00783CAB"/>
    <w:rsid w:val="007B23C1"/>
    <w:rsid w:val="007B618D"/>
    <w:rsid w:val="007D5453"/>
    <w:rsid w:val="007E7297"/>
    <w:rsid w:val="00810493"/>
    <w:rsid w:val="00810E7D"/>
    <w:rsid w:val="008270CD"/>
    <w:rsid w:val="00827EF3"/>
    <w:rsid w:val="00837A1E"/>
    <w:rsid w:val="00857FDA"/>
    <w:rsid w:val="00862D6F"/>
    <w:rsid w:val="00865580"/>
    <w:rsid w:val="0088423A"/>
    <w:rsid w:val="00892A62"/>
    <w:rsid w:val="00897C79"/>
    <w:rsid w:val="008A7FBB"/>
    <w:rsid w:val="008B0CC3"/>
    <w:rsid w:val="008E2FCA"/>
    <w:rsid w:val="008F3AEC"/>
    <w:rsid w:val="009079D1"/>
    <w:rsid w:val="009206EA"/>
    <w:rsid w:val="0092155E"/>
    <w:rsid w:val="009228FF"/>
    <w:rsid w:val="00947067"/>
    <w:rsid w:val="009635D8"/>
    <w:rsid w:val="00996244"/>
    <w:rsid w:val="009A609F"/>
    <w:rsid w:val="009A7793"/>
    <w:rsid w:val="009C0496"/>
    <w:rsid w:val="009C291E"/>
    <w:rsid w:val="009F7AEC"/>
    <w:rsid w:val="00A143C6"/>
    <w:rsid w:val="00A15EB6"/>
    <w:rsid w:val="00A332A3"/>
    <w:rsid w:val="00A43E8B"/>
    <w:rsid w:val="00A518EF"/>
    <w:rsid w:val="00A65A13"/>
    <w:rsid w:val="00A77924"/>
    <w:rsid w:val="00AA073C"/>
    <w:rsid w:val="00AC4EEC"/>
    <w:rsid w:val="00AD7AB1"/>
    <w:rsid w:val="00AE2F52"/>
    <w:rsid w:val="00AF104A"/>
    <w:rsid w:val="00AF2D2F"/>
    <w:rsid w:val="00AF75BE"/>
    <w:rsid w:val="00B33F2D"/>
    <w:rsid w:val="00B400EA"/>
    <w:rsid w:val="00B555EA"/>
    <w:rsid w:val="00B6228D"/>
    <w:rsid w:val="00B7183D"/>
    <w:rsid w:val="00BC353C"/>
    <w:rsid w:val="00BC7858"/>
    <w:rsid w:val="00BF236C"/>
    <w:rsid w:val="00C07B28"/>
    <w:rsid w:val="00C26A0F"/>
    <w:rsid w:val="00C32FB2"/>
    <w:rsid w:val="00C43CD5"/>
    <w:rsid w:val="00C45CA5"/>
    <w:rsid w:val="00C805B4"/>
    <w:rsid w:val="00C83111"/>
    <w:rsid w:val="00C92F1E"/>
    <w:rsid w:val="00C97B2A"/>
    <w:rsid w:val="00CA252E"/>
    <w:rsid w:val="00CA5A1F"/>
    <w:rsid w:val="00CB09E0"/>
    <w:rsid w:val="00CB0A38"/>
    <w:rsid w:val="00CC2927"/>
    <w:rsid w:val="00CD5103"/>
    <w:rsid w:val="00D00E4A"/>
    <w:rsid w:val="00D04D84"/>
    <w:rsid w:val="00D1462B"/>
    <w:rsid w:val="00D40278"/>
    <w:rsid w:val="00D86384"/>
    <w:rsid w:val="00DB3A93"/>
    <w:rsid w:val="00DD767C"/>
    <w:rsid w:val="00DF2A7B"/>
    <w:rsid w:val="00E021A1"/>
    <w:rsid w:val="00E62E4A"/>
    <w:rsid w:val="00EA39FF"/>
    <w:rsid w:val="00EB1174"/>
    <w:rsid w:val="00EB21BB"/>
    <w:rsid w:val="00EC0F52"/>
    <w:rsid w:val="00EC1ECC"/>
    <w:rsid w:val="00EC5C51"/>
    <w:rsid w:val="00ED7472"/>
    <w:rsid w:val="00ED7B16"/>
    <w:rsid w:val="00F050FD"/>
    <w:rsid w:val="00F56984"/>
    <w:rsid w:val="00F8202F"/>
    <w:rsid w:val="00F87D22"/>
    <w:rsid w:val="00F904D2"/>
    <w:rsid w:val="00FA0989"/>
    <w:rsid w:val="00FC24AB"/>
    <w:rsid w:val="00FE1FAD"/>
    <w:rsid w:val="00FF4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4AA"/>
    <w:rPr>
      <w:sz w:val="24"/>
      <w:szCs w:val="24"/>
    </w:rPr>
  </w:style>
  <w:style w:type="paragraph" w:styleId="Heading1">
    <w:name w:val="heading 1"/>
    <w:basedOn w:val="Normal"/>
    <w:qFormat/>
    <w:rsid w:val="007D5453"/>
    <w:pPr>
      <w:spacing w:before="100" w:beforeAutospacing="1" w:after="360"/>
      <w:outlineLvl w:val="0"/>
    </w:pPr>
    <w:rPr>
      <w:b/>
      <w:bCs/>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AF75BE"/>
    <w:pPr>
      <w:jc w:val="center"/>
    </w:pPr>
    <w:rPr>
      <w:b/>
      <w:sz w:val="28"/>
      <w:szCs w:val="28"/>
      <w:lang w:val="ro-RO"/>
    </w:rPr>
  </w:style>
  <w:style w:type="paragraph" w:customStyle="1" w:styleId="Style5">
    <w:name w:val="Style5"/>
    <w:basedOn w:val="Normal"/>
    <w:autoRedefine/>
    <w:rsid w:val="00AF75BE"/>
    <w:pPr>
      <w:jc w:val="center"/>
    </w:pPr>
    <w:rPr>
      <w:b/>
      <w:sz w:val="28"/>
      <w:szCs w:val="28"/>
      <w:lang w:val="ro-RO"/>
    </w:rPr>
  </w:style>
  <w:style w:type="paragraph" w:styleId="Footer">
    <w:name w:val="footer"/>
    <w:basedOn w:val="Normal"/>
    <w:rsid w:val="004344AA"/>
    <w:pPr>
      <w:tabs>
        <w:tab w:val="center" w:pos="4320"/>
        <w:tab w:val="right" w:pos="8640"/>
      </w:tabs>
    </w:pPr>
  </w:style>
  <w:style w:type="character" w:styleId="PageNumber">
    <w:name w:val="page number"/>
    <w:basedOn w:val="DefaultParagraphFont"/>
    <w:rsid w:val="004344AA"/>
  </w:style>
  <w:style w:type="table" w:styleId="TableGrid">
    <w:name w:val="Table Grid"/>
    <w:basedOn w:val="TableNormal"/>
    <w:rsid w:val="00434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F104A"/>
    <w:rPr>
      <w:strike w:val="0"/>
      <w:dstrike w:val="0"/>
      <w:color w:val="000000"/>
      <w:u w:val="none"/>
      <w:effect w:val="none"/>
    </w:rPr>
  </w:style>
  <w:style w:type="character" w:customStyle="1" w:styleId="citation-abbreviation">
    <w:name w:val="citation-abbreviation"/>
    <w:basedOn w:val="DefaultParagraphFont"/>
    <w:rsid w:val="007D5453"/>
  </w:style>
  <w:style w:type="character" w:customStyle="1" w:styleId="citation-publication-date">
    <w:name w:val="citation-publication-date"/>
    <w:basedOn w:val="DefaultParagraphFont"/>
    <w:rsid w:val="007D5453"/>
  </w:style>
  <w:style w:type="character" w:customStyle="1" w:styleId="citation-volume">
    <w:name w:val="citation-volume"/>
    <w:basedOn w:val="DefaultParagraphFont"/>
    <w:rsid w:val="007D5453"/>
  </w:style>
  <w:style w:type="character" w:customStyle="1" w:styleId="citation-issue">
    <w:name w:val="citation-issue"/>
    <w:basedOn w:val="DefaultParagraphFont"/>
    <w:rsid w:val="007D5453"/>
  </w:style>
  <w:style w:type="character" w:customStyle="1" w:styleId="citation-flpages">
    <w:name w:val="citation-flpages"/>
    <w:basedOn w:val="DefaultParagraphFont"/>
    <w:rsid w:val="007D5453"/>
  </w:style>
  <w:style w:type="paragraph" w:styleId="FootnoteText">
    <w:name w:val="footnote text"/>
    <w:basedOn w:val="Normal"/>
    <w:semiHidden/>
    <w:rsid w:val="005F2D06"/>
    <w:rPr>
      <w:sz w:val="20"/>
      <w:szCs w:val="20"/>
    </w:rPr>
  </w:style>
  <w:style w:type="character" w:styleId="FootnoteReference">
    <w:name w:val="footnote reference"/>
    <w:basedOn w:val="DefaultParagraphFont"/>
    <w:semiHidden/>
    <w:rsid w:val="005F2D06"/>
    <w:rPr>
      <w:vertAlign w:val="superscript"/>
    </w:rPr>
  </w:style>
  <w:style w:type="character" w:customStyle="1" w:styleId="apple-converted-space">
    <w:name w:val="apple-converted-space"/>
    <w:basedOn w:val="DefaultParagraphFont"/>
    <w:rsid w:val="009206EA"/>
  </w:style>
  <w:style w:type="paragraph" w:styleId="EndnoteText">
    <w:name w:val="endnote text"/>
    <w:basedOn w:val="Normal"/>
    <w:link w:val="EndnoteTextChar"/>
    <w:rsid w:val="0069455B"/>
    <w:rPr>
      <w:sz w:val="20"/>
      <w:szCs w:val="20"/>
    </w:rPr>
  </w:style>
  <w:style w:type="character" w:customStyle="1" w:styleId="EndnoteTextChar">
    <w:name w:val="Endnote Text Char"/>
    <w:basedOn w:val="DefaultParagraphFont"/>
    <w:link w:val="EndnoteText"/>
    <w:rsid w:val="0069455B"/>
  </w:style>
  <w:style w:type="character" w:styleId="EndnoteReference">
    <w:name w:val="endnote reference"/>
    <w:basedOn w:val="DefaultParagraphFont"/>
    <w:rsid w:val="0069455B"/>
    <w:rPr>
      <w:vertAlign w:val="superscript"/>
    </w:rPr>
  </w:style>
</w:styles>
</file>

<file path=word/webSettings.xml><?xml version="1.0" encoding="utf-8"?>
<w:webSettings xmlns:r="http://schemas.openxmlformats.org/officeDocument/2006/relationships" xmlns:w="http://schemas.openxmlformats.org/wordprocessingml/2006/main">
  <w:divs>
    <w:div w:id="76370129">
      <w:bodyDiv w:val="1"/>
      <w:marLeft w:val="0"/>
      <w:marRight w:val="0"/>
      <w:marTop w:val="0"/>
      <w:marBottom w:val="0"/>
      <w:divBdr>
        <w:top w:val="none" w:sz="0" w:space="0" w:color="auto"/>
        <w:left w:val="none" w:sz="0" w:space="0" w:color="auto"/>
        <w:bottom w:val="none" w:sz="0" w:space="0" w:color="auto"/>
        <w:right w:val="none" w:sz="0" w:space="0" w:color="auto"/>
      </w:divBdr>
      <w:divsChild>
        <w:div w:id="1407923480">
          <w:marLeft w:val="0"/>
          <w:marRight w:val="0"/>
          <w:marTop w:val="0"/>
          <w:marBottom w:val="0"/>
          <w:divBdr>
            <w:top w:val="none" w:sz="0" w:space="0" w:color="auto"/>
            <w:left w:val="none" w:sz="0" w:space="0" w:color="auto"/>
            <w:bottom w:val="none" w:sz="0" w:space="0" w:color="auto"/>
            <w:right w:val="none" w:sz="0" w:space="0" w:color="auto"/>
          </w:divBdr>
          <w:divsChild>
            <w:div w:id="792863308">
              <w:marLeft w:val="0"/>
              <w:marRight w:val="0"/>
              <w:marTop w:val="0"/>
              <w:marBottom w:val="0"/>
              <w:divBdr>
                <w:top w:val="none" w:sz="0" w:space="0" w:color="auto"/>
                <w:left w:val="none" w:sz="0" w:space="0" w:color="auto"/>
                <w:bottom w:val="none" w:sz="0" w:space="0" w:color="auto"/>
                <w:right w:val="none" w:sz="0" w:space="0" w:color="auto"/>
              </w:divBdr>
              <w:divsChild>
                <w:div w:id="1423405569">
                  <w:marLeft w:val="0"/>
                  <w:marRight w:val="0"/>
                  <w:marTop w:val="0"/>
                  <w:marBottom w:val="0"/>
                  <w:divBdr>
                    <w:top w:val="none" w:sz="0" w:space="0" w:color="auto"/>
                    <w:left w:val="none" w:sz="0" w:space="0" w:color="auto"/>
                    <w:bottom w:val="none" w:sz="0" w:space="0" w:color="auto"/>
                    <w:right w:val="none" w:sz="0" w:space="0" w:color="auto"/>
                  </w:divBdr>
                  <w:divsChild>
                    <w:div w:id="770246208">
                      <w:marLeft w:val="0"/>
                      <w:marRight w:val="0"/>
                      <w:marTop w:val="0"/>
                      <w:marBottom w:val="0"/>
                      <w:divBdr>
                        <w:top w:val="none" w:sz="0" w:space="0" w:color="auto"/>
                        <w:left w:val="none" w:sz="0" w:space="0" w:color="auto"/>
                        <w:bottom w:val="none" w:sz="0" w:space="0" w:color="auto"/>
                        <w:right w:val="none" w:sz="0" w:space="0" w:color="auto"/>
                      </w:divBdr>
                      <w:divsChild>
                        <w:div w:id="1773471145">
                          <w:marLeft w:val="0"/>
                          <w:marRight w:val="0"/>
                          <w:marTop w:val="0"/>
                          <w:marBottom w:val="0"/>
                          <w:divBdr>
                            <w:top w:val="none" w:sz="0" w:space="0" w:color="auto"/>
                            <w:left w:val="none" w:sz="0" w:space="0" w:color="auto"/>
                            <w:bottom w:val="none" w:sz="0" w:space="0" w:color="auto"/>
                            <w:right w:val="none" w:sz="0" w:space="0" w:color="auto"/>
                          </w:divBdr>
                          <w:divsChild>
                            <w:div w:id="1428693454">
                              <w:marLeft w:val="0"/>
                              <w:marRight w:val="0"/>
                              <w:marTop w:val="0"/>
                              <w:marBottom w:val="0"/>
                              <w:divBdr>
                                <w:top w:val="none" w:sz="0" w:space="0" w:color="auto"/>
                                <w:left w:val="none" w:sz="0" w:space="0" w:color="auto"/>
                                <w:bottom w:val="none" w:sz="0" w:space="0" w:color="auto"/>
                                <w:right w:val="none" w:sz="0" w:space="0" w:color="auto"/>
                              </w:divBdr>
                              <w:divsChild>
                                <w:div w:id="1220442136">
                                  <w:marLeft w:val="0"/>
                                  <w:marRight w:val="0"/>
                                  <w:marTop w:val="0"/>
                                  <w:marBottom w:val="0"/>
                                  <w:divBdr>
                                    <w:top w:val="none" w:sz="0" w:space="0" w:color="auto"/>
                                    <w:left w:val="none" w:sz="0" w:space="0" w:color="auto"/>
                                    <w:bottom w:val="none" w:sz="0" w:space="0" w:color="auto"/>
                                    <w:right w:val="none" w:sz="0" w:space="0" w:color="auto"/>
                                  </w:divBdr>
                                  <w:divsChild>
                                    <w:div w:id="1448742845">
                                      <w:marLeft w:val="0"/>
                                      <w:marRight w:val="0"/>
                                      <w:marTop w:val="0"/>
                                      <w:marBottom w:val="0"/>
                                      <w:divBdr>
                                        <w:top w:val="none" w:sz="0" w:space="0" w:color="auto"/>
                                        <w:left w:val="none" w:sz="0" w:space="0" w:color="auto"/>
                                        <w:bottom w:val="none" w:sz="0" w:space="0" w:color="auto"/>
                                        <w:right w:val="none" w:sz="0" w:space="0" w:color="auto"/>
                                      </w:divBdr>
                                      <w:divsChild>
                                        <w:div w:id="1850637233">
                                          <w:marLeft w:val="0"/>
                                          <w:marRight w:val="0"/>
                                          <w:marTop w:val="0"/>
                                          <w:marBottom w:val="0"/>
                                          <w:divBdr>
                                            <w:top w:val="none" w:sz="0" w:space="0" w:color="auto"/>
                                            <w:left w:val="none" w:sz="0" w:space="0" w:color="auto"/>
                                            <w:bottom w:val="none" w:sz="0" w:space="0" w:color="auto"/>
                                            <w:right w:val="none" w:sz="0" w:space="0" w:color="auto"/>
                                          </w:divBdr>
                                          <w:divsChild>
                                            <w:div w:id="43719778">
                                              <w:marLeft w:val="0"/>
                                              <w:marRight w:val="0"/>
                                              <w:marTop w:val="0"/>
                                              <w:marBottom w:val="0"/>
                                              <w:divBdr>
                                                <w:top w:val="none" w:sz="0" w:space="0" w:color="auto"/>
                                                <w:left w:val="none" w:sz="0" w:space="0" w:color="auto"/>
                                                <w:bottom w:val="none" w:sz="0" w:space="0" w:color="auto"/>
                                                <w:right w:val="none" w:sz="0" w:space="0" w:color="auto"/>
                                              </w:divBdr>
                                              <w:divsChild>
                                                <w:div w:id="366640013">
                                                  <w:marLeft w:val="0"/>
                                                  <w:marRight w:val="0"/>
                                                  <w:marTop w:val="0"/>
                                                  <w:marBottom w:val="0"/>
                                                  <w:divBdr>
                                                    <w:top w:val="none" w:sz="0" w:space="0" w:color="auto"/>
                                                    <w:left w:val="none" w:sz="0" w:space="0" w:color="auto"/>
                                                    <w:bottom w:val="none" w:sz="0" w:space="0" w:color="auto"/>
                                                    <w:right w:val="none" w:sz="0" w:space="0" w:color="auto"/>
                                                  </w:divBdr>
                                                  <w:divsChild>
                                                    <w:div w:id="11098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318389">
      <w:bodyDiv w:val="1"/>
      <w:marLeft w:val="0"/>
      <w:marRight w:val="0"/>
      <w:marTop w:val="0"/>
      <w:marBottom w:val="0"/>
      <w:divBdr>
        <w:top w:val="none" w:sz="0" w:space="0" w:color="auto"/>
        <w:left w:val="none" w:sz="0" w:space="0" w:color="auto"/>
        <w:bottom w:val="none" w:sz="0" w:space="0" w:color="auto"/>
        <w:right w:val="none" w:sz="0" w:space="0" w:color="auto"/>
      </w:divBdr>
    </w:div>
    <w:div w:id="850340919">
      <w:bodyDiv w:val="1"/>
      <w:marLeft w:val="0"/>
      <w:marRight w:val="0"/>
      <w:marTop w:val="0"/>
      <w:marBottom w:val="0"/>
      <w:divBdr>
        <w:top w:val="none" w:sz="0" w:space="0" w:color="auto"/>
        <w:left w:val="none" w:sz="0" w:space="0" w:color="auto"/>
        <w:bottom w:val="none" w:sz="0" w:space="0" w:color="auto"/>
        <w:right w:val="none" w:sz="0" w:space="0" w:color="auto"/>
      </w:divBdr>
    </w:div>
    <w:div w:id="1246384093">
      <w:bodyDiv w:val="1"/>
      <w:marLeft w:val="0"/>
      <w:marRight w:val="0"/>
      <w:marTop w:val="0"/>
      <w:marBottom w:val="0"/>
      <w:divBdr>
        <w:top w:val="none" w:sz="0" w:space="0" w:color="auto"/>
        <w:left w:val="none" w:sz="0" w:space="0" w:color="auto"/>
        <w:bottom w:val="none" w:sz="0" w:space="0" w:color="auto"/>
        <w:right w:val="none" w:sz="0" w:space="0" w:color="auto"/>
      </w:divBdr>
      <w:divsChild>
        <w:div w:id="2099860254">
          <w:marLeft w:val="0"/>
          <w:marRight w:val="0"/>
          <w:marTop w:val="0"/>
          <w:marBottom w:val="0"/>
          <w:divBdr>
            <w:top w:val="none" w:sz="0" w:space="0" w:color="auto"/>
            <w:left w:val="none" w:sz="0" w:space="0" w:color="auto"/>
            <w:bottom w:val="none" w:sz="0" w:space="0" w:color="auto"/>
            <w:right w:val="none" w:sz="0" w:space="0" w:color="auto"/>
          </w:divBdr>
          <w:divsChild>
            <w:div w:id="1662583631">
              <w:marLeft w:val="400"/>
              <w:marRight w:val="0"/>
              <w:marTop w:val="0"/>
              <w:marBottom w:val="0"/>
              <w:divBdr>
                <w:top w:val="none" w:sz="0" w:space="0" w:color="auto"/>
                <w:left w:val="none" w:sz="0" w:space="0" w:color="auto"/>
                <w:bottom w:val="none" w:sz="0" w:space="0" w:color="auto"/>
                <w:right w:val="none" w:sz="0" w:space="0" w:color="auto"/>
              </w:divBdr>
              <w:divsChild>
                <w:div w:id="1967659886">
                  <w:marLeft w:val="0"/>
                  <w:marRight w:val="0"/>
                  <w:marTop w:val="0"/>
                  <w:marBottom w:val="280"/>
                  <w:divBdr>
                    <w:top w:val="none" w:sz="0" w:space="0" w:color="auto"/>
                    <w:left w:val="none" w:sz="0" w:space="0" w:color="auto"/>
                    <w:bottom w:val="none" w:sz="0" w:space="0" w:color="auto"/>
                    <w:right w:val="none" w:sz="0" w:space="0" w:color="auto"/>
                  </w:divBdr>
                  <w:divsChild>
                    <w:div w:id="9900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33090">
      <w:bodyDiv w:val="1"/>
      <w:marLeft w:val="0"/>
      <w:marRight w:val="0"/>
      <w:marTop w:val="0"/>
      <w:marBottom w:val="0"/>
      <w:divBdr>
        <w:top w:val="none" w:sz="0" w:space="0" w:color="auto"/>
        <w:left w:val="none" w:sz="0" w:space="0" w:color="auto"/>
        <w:bottom w:val="none" w:sz="0" w:space="0" w:color="auto"/>
        <w:right w:val="none" w:sz="0" w:space="0" w:color="auto"/>
      </w:divBdr>
      <w:divsChild>
        <w:div w:id="8525904">
          <w:marLeft w:val="0"/>
          <w:marRight w:val="0"/>
          <w:marTop w:val="0"/>
          <w:marBottom w:val="0"/>
          <w:divBdr>
            <w:top w:val="none" w:sz="0" w:space="0" w:color="auto"/>
            <w:left w:val="none" w:sz="0" w:space="0" w:color="auto"/>
            <w:bottom w:val="none" w:sz="0" w:space="0" w:color="auto"/>
            <w:right w:val="none" w:sz="0" w:space="0" w:color="auto"/>
          </w:divBdr>
          <w:divsChild>
            <w:div w:id="1274751746">
              <w:marLeft w:val="400"/>
              <w:marRight w:val="0"/>
              <w:marTop w:val="0"/>
              <w:marBottom w:val="0"/>
              <w:divBdr>
                <w:top w:val="none" w:sz="0" w:space="0" w:color="auto"/>
                <w:left w:val="none" w:sz="0" w:space="0" w:color="auto"/>
                <w:bottom w:val="none" w:sz="0" w:space="0" w:color="auto"/>
                <w:right w:val="none" w:sz="0" w:space="0" w:color="auto"/>
              </w:divBdr>
              <w:divsChild>
                <w:div w:id="1739160556">
                  <w:marLeft w:val="0"/>
                  <w:marRight w:val="0"/>
                  <w:marTop w:val="0"/>
                  <w:marBottom w:val="280"/>
                  <w:divBdr>
                    <w:top w:val="none" w:sz="0" w:space="0" w:color="auto"/>
                    <w:left w:val="none" w:sz="0" w:space="0" w:color="auto"/>
                    <w:bottom w:val="none" w:sz="0" w:space="0" w:color="auto"/>
                    <w:right w:val="none" w:sz="0" w:space="0" w:color="auto"/>
                  </w:divBdr>
                  <w:divsChild>
                    <w:div w:id="9646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288166">
      <w:bodyDiv w:val="1"/>
      <w:marLeft w:val="0"/>
      <w:marRight w:val="0"/>
      <w:marTop w:val="0"/>
      <w:marBottom w:val="0"/>
      <w:divBdr>
        <w:top w:val="none" w:sz="0" w:space="0" w:color="auto"/>
        <w:left w:val="none" w:sz="0" w:space="0" w:color="auto"/>
        <w:bottom w:val="none" w:sz="0" w:space="0" w:color="auto"/>
        <w:right w:val="none" w:sz="0" w:space="0" w:color="auto"/>
      </w:divBdr>
    </w:div>
    <w:div w:id="1719235367">
      <w:bodyDiv w:val="1"/>
      <w:marLeft w:val="0"/>
      <w:marRight w:val="0"/>
      <w:marTop w:val="0"/>
      <w:marBottom w:val="0"/>
      <w:divBdr>
        <w:top w:val="none" w:sz="0" w:space="0" w:color="auto"/>
        <w:left w:val="none" w:sz="0" w:space="0" w:color="auto"/>
        <w:bottom w:val="none" w:sz="0" w:space="0" w:color="auto"/>
        <w:right w:val="none" w:sz="0" w:space="0" w:color="auto"/>
      </w:divBdr>
      <w:divsChild>
        <w:div w:id="44109495">
          <w:marLeft w:val="0"/>
          <w:marRight w:val="0"/>
          <w:marTop w:val="0"/>
          <w:marBottom w:val="0"/>
          <w:divBdr>
            <w:top w:val="none" w:sz="0" w:space="0" w:color="auto"/>
            <w:left w:val="none" w:sz="0" w:space="0" w:color="auto"/>
            <w:bottom w:val="none" w:sz="0" w:space="0" w:color="auto"/>
            <w:right w:val="none" w:sz="0" w:space="0" w:color="auto"/>
          </w:divBdr>
          <w:divsChild>
            <w:div w:id="38476463">
              <w:marLeft w:val="0"/>
              <w:marRight w:val="0"/>
              <w:marTop w:val="0"/>
              <w:marBottom w:val="0"/>
              <w:divBdr>
                <w:top w:val="none" w:sz="0" w:space="0" w:color="auto"/>
                <w:left w:val="none" w:sz="0" w:space="0" w:color="auto"/>
                <w:bottom w:val="none" w:sz="0" w:space="0" w:color="auto"/>
                <w:right w:val="none" w:sz="0" w:space="0" w:color="auto"/>
              </w:divBdr>
            </w:div>
            <w:div w:id="294337774">
              <w:marLeft w:val="0"/>
              <w:marRight w:val="0"/>
              <w:marTop w:val="0"/>
              <w:marBottom w:val="0"/>
              <w:divBdr>
                <w:top w:val="none" w:sz="0" w:space="0" w:color="auto"/>
                <w:left w:val="none" w:sz="0" w:space="0" w:color="auto"/>
                <w:bottom w:val="none" w:sz="0" w:space="0" w:color="auto"/>
                <w:right w:val="none" w:sz="0" w:space="0" w:color="auto"/>
              </w:divBdr>
            </w:div>
            <w:div w:id="652563659">
              <w:marLeft w:val="0"/>
              <w:marRight w:val="0"/>
              <w:marTop w:val="0"/>
              <w:marBottom w:val="0"/>
              <w:divBdr>
                <w:top w:val="none" w:sz="0" w:space="0" w:color="auto"/>
                <w:left w:val="none" w:sz="0" w:space="0" w:color="auto"/>
                <w:bottom w:val="none" w:sz="0" w:space="0" w:color="auto"/>
                <w:right w:val="none" w:sz="0" w:space="0" w:color="auto"/>
              </w:divBdr>
            </w:div>
            <w:div w:id="759133679">
              <w:marLeft w:val="0"/>
              <w:marRight w:val="0"/>
              <w:marTop w:val="0"/>
              <w:marBottom w:val="0"/>
              <w:divBdr>
                <w:top w:val="none" w:sz="0" w:space="0" w:color="auto"/>
                <w:left w:val="none" w:sz="0" w:space="0" w:color="auto"/>
                <w:bottom w:val="none" w:sz="0" w:space="0" w:color="auto"/>
                <w:right w:val="none" w:sz="0" w:space="0" w:color="auto"/>
              </w:divBdr>
            </w:div>
            <w:div w:id="1251500026">
              <w:marLeft w:val="0"/>
              <w:marRight w:val="0"/>
              <w:marTop w:val="0"/>
              <w:marBottom w:val="0"/>
              <w:divBdr>
                <w:top w:val="none" w:sz="0" w:space="0" w:color="auto"/>
                <w:left w:val="none" w:sz="0" w:space="0" w:color="auto"/>
                <w:bottom w:val="none" w:sz="0" w:space="0" w:color="auto"/>
                <w:right w:val="none" w:sz="0" w:space="0" w:color="auto"/>
              </w:divBdr>
            </w:div>
          </w:divsChild>
        </w:div>
        <w:div w:id="188035718">
          <w:marLeft w:val="0"/>
          <w:marRight w:val="0"/>
          <w:marTop w:val="0"/>
          <w:marBottom w:val="0"/>
          <w:divBdr>
            <w:top w:val="none" w:sz="0" w:space="0" w:color="auto"/>
            <w:left w:val="none" w:sz="0" w:space="0" w:color="auto"/>
            <w:bottom w:val="none" w:sz="0" w:space="0" w:color="auto"/>
            <w:right w:val="none" w:sz="0" w:space="0" w:color="auto"/>
          </w:divBdr>
        </w:div>
      </w:divsChild>
    </w:div>
    <w:div w:id="1780220494">
      <w:bodyDiv w:val="1"/>
      <w:marLeft w:val="0"/>
      <w:marRight w:val="0"/>
      <w:marTop w:val="0"/>
      <w:marBottom w:val="0"/>
      <w:divBdr>
        <w:top w:val="none" w:sz="0" w:space="0" w:color="auto"/>
        <w:left w:val="none" w:sz="0" w:space="0" w:color="auto"/>
        <w:bottom w:val="none" w:sz="0" w:space="0" w:color="auto"/>
        <w:right w:val="none" w:sz="0" w:space="0" w:color="auto"/>
      </w:divBdr>
      <w:divsChild>
        <w:div w:id="1506096771">
          <w:marLeft w:val="300"/>
          <w:marRight w:val="7400"/>
          <w:marTop w:val="2800"/>
          <w:marBottom w:val="0"/>
          <w:divBdr>
            <w:top w:val="none" w:sz="0" w:space="0" w:color="auto"/>
            <w:left w:val="none" w:sz="0" w:space="0" w:color="auto"/>
            <w:bottom w:val="none" w:sz="0" w:space="0" w:color="auto"/>
            <w:right w:val="none" w:sz="0" w:space="0" w:color="auto"/>
          </w:divBdr>
        </w:div>
      </w:divsChild>
    </w:div>
    <w:div w:id="1821650650">
      <w:bodyDiv w:val="1"/>
      <w:marLeft w:val="0"/>
      <w:marRight w:val="0"/>
      <w:marTop w:val="0"/>
      <w:marBottom w:val="0"/>
      <w:divBdr>
        <w:top w:val="none" w:sz="0" w:space="0" w:color="auto"/>
        <w:left w:val="none" w:sz="0" w:space="0" w:color="auto"/>
        <w:bottom w:val="none" w:sz="0" w:space="0" w:color="auto"/>
        <w:right w:val="none" w:sz="0" w:space="0" w:color="auto"/>
      </w:divBdr>
    </w:div>
    <w:div w:id="1877424313">
      <w:bodyDiv w:val="1"/>
      <w:marLeft w:val="0"/>
      <w:marRight w:val="0"/>
      <w:marTop w:val="0"/>
      <w:marBottom w:val="0"/>
      <w:divBdr>
        <w:top w:val="none" w:sz="0" w:space="0" w:color="auto"/>
        <w:left w:val="none" w:sz="0" w:space="0" w:color="auto"/>
        <w:bottom w:val="none" w:sz="0" w:space="0" w:color="auto"/>
        <w:right w:val="none" w:sz="0" w:space="0" w:color="auto"/>
      </w:divBdr>
    </w:div>
    <w:div w:id="20574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pgn.net/web/uploadfile/2011/" TargetMode="External"/><Relationship Id="rId2" Type="http://schemas.openxmlformats.org/officeDocument/2006/relationships/hyperlink" Target="http://www.ish-world.com/Documents/PocketGL_ENGLISH_EUR-A-B.PDF" TargetMode="External"/><Relationship Id="rId1" Type="http://schemas.openxmlformats.org/officeDocument/2006/relationships/hyperlink" Target="http://www.who.int" TargetMode="External"/><Relationship Id="rId5" Type="http://schemas.openxmlformats.org/officeDocument/2006/relationships/hyperlink" Target="http://www.ghidurimedicale.ro/images/hta/hta_pac_a.jpg" TargetMode="External"/><Relationship Id="rId4" Type="http://schemas.openxmlformats.org/officeDocument/2006/relationships/hyperlink" Target="http://www.ghidurimedicale.ro/download/ghid_h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1D13375-7AE6-465B-88E2-7FBE8DD0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2088</Words>
  <Characters>11183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vt:lpstr>
    </vt:vector>
  </TitlesOfParts>
  <Company>xx</Company>
  <LinksUpToDate>false</LinksUpToDate>
  <CharactersWithSpaces>13245</CharactersWithSpaces>
  <SharedDoc>false</SharedDoc>
  <HLinks>
    <vt:vector size="36" baseType="variant">
      <vt:variant>
        <vt:i4>5439511</vt:i4>
      </vt:variant>
      <vt:variant>
        <vt:i4>0</vt:i4>
      </vt:variant>
      <vt:variant>
        <vt:i4>0</vt:i4>
      </vt:variant>
      <vt:variant>
        <vt:i4>5</vt:i4>
      </vt:variant>
      <vt:variant>
        <vt:lpwstr>http://www.informatiamedicala.ro/dictionar-medical/p/prevalenta-5142.html</vt:lpwstr>
      </vt:variant>
      <vt:variant>
        <vt:lpwstr/>
      </vt:variant>
      <vt:variant>
        <vt:i4>6946875</vt:i4>
      </vt:variant>
      <vt:variant>
        <vt:i4>12</vt:i4>
      </vt:variant>
      <vt:variant>
        <vt:i4>0</vt:i4>
      </vt:variant>
      <vt:variant>
        <vt:i4>5</vt:i4>
      </vt:variant>
      <vt:variant>
        <vt:lpwstr>http://www.ghidurimedicale.ro/images/hta/hta_pac_a.jpg</vt:lpwstr>
      </vt:variant>
      <vt:variant>
        <vt:lpwstr/>
      </vt:variant>
      <vt:variant>
        <vt:i4>589869</vt:i4>
      </vt:variant>
      <vt:variant>
        <vt:i4>9</vt:i4>
      </vt:variant>
      <vt:variant>
        <vt:i4>0</vt:i4>
      </vt:variant>
      <vt:variant>
        <vt:i4>5</vt:i4>
      </vt:variant>
      <vt:variant>
        <vt:lpwstr>http://www.ghidurimedicale.ro/download/ghid_hta.pdf</vt:lpwstr>
      </vt:variant>
      <vt:variant>
        <vt:lpwstr/>
      </vt:variant>
      <vt:variant>
        <vt:i4>5898269</vt:i4>
      </vt:variant>
      <vt:variant>
        <vt:i4>6</vt:i4>
      </vt:variant>
      <vt:variant>
        <vt:i4>0</vt:i4>
      </vt:variant>
      <vt:variant>
        <vt:i4>5</vt:i4>
      </vt:variant>
      <vt:variant>
        <vt:lpwstr>http://www.cpgn.net/web/uploadfile/2011/</vt:lpwstr>
      </vt:variant>
      <vt:variant>
        <vt:lpwstr/>
      </vt:variant>
      <vt:variant>
        <vt:i4>7143484</vt:i4>
      </vt:variant>
      <vt:variant>
        <vt:i4>3</vt:i4>
      </vt:variant>
      <vt:variant>
        <vt:i4>0</vt:i4>
      </vt:variant>
      <vt:variant>
        <vt:i4>5</vt:i4>
      </vt:variant>
      <vt:variant>
        <vt:lpwstr>http://www.ish-world.com/Documents/PocketGL_ENGLISH_EUR-A-B.PDF</vt:lpwstr>
      </vt:variant>
      <vt:variant>
        <vt:lpwstr/>
      </vt:variant>
      <vt:variant>
        <vt:i4>3014776</vt:i4>
      </vt:variant>
      <vt:variant>
        <vt:i4>0</vt:i4>
      </vt:variant>
      <vt:variant>
        <vt:i4>0</vt:i4>
      </vt:variant>
      <vt:variant>
        <vt:i4>5</vt:i4>
      </vt:variant>
      <vt:variant>
        <vt:lpwstr>http://www.who.int/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ioana beldean</dc:creator>
  <cp:lastModifiedBy>user</cp:lastModifiedBy>
  <cp:revision>2</cp:revision>
  <dcterms:created xsi:type="dcterms:W3CDTF">2015-04-20T08:58:00Z</dcterms:created>
  <dcterms:modified xsi:type="dcterms:W3CDTF">2015-04-20T08:58:00Z</dcterms:modified>
</cp:coreProperties>
</file>